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9A5DB">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p>
    <w:p w14:paraId="6C8FD8E7">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方正小标宋简体" w:cs="Times New Roman"/>
          <w:sz w:val="44"/>
          <w:szCs w:val="44"/>
          <w:lang w:val="en-US" w:eastAsia="zh-CN"/>
        </w:rPr>
      </w:pPr>
    </w:p>
    <w:p w14:paraId="479C733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小标宋" w:cs="Times New Roman"/>
          <w:sz w:val="44"/>
          <w:szCs w:val="44"/>
          <w:lang w:val="en-US" w:eastAsia="zh-CN"/>
        </w:rPr>
      </w:pPr>
      <w:r>
        <w:rPr>
          <w:rFonts w:hint="default" w:ascii="Times New Roman" w:hAnsi="Times New Roman" w:eastAsia="小标宋" w:cs="Times New Roman"/>
          <w:sz w:val="44"/>
          <w:szCs w:val="44"/>
          <w:lang w:val="en-US" w:eastAsia="zh-CN"/>
        </w:rPr>
        <w:t>云南省高原特色农业股权投资基金</w:t>
      </w:r>
    </w:p>
    <w:p w14:paraId="79D3CCD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小标宋" w:cs="Times New Roman"/>
          <w:sz w:val="44"/>
          <w:szCs w:val="44"/>
          <w:lang w:val="en-US" w:eastAsia="zh-CN"/>
        </w:rPr>
      </w:pPr>
      <w:r>
        <w:rPr>
          <w:rFonts w:hint="default" w:ascii="Times New Roman" w:hAnsi="Times New Roman" w:eastAsia="小标宋" w:cs="Times New Roman"/>
          <w:sz w:val="44"/>
          <w:szCs w:val="44"/>
          <w:lang w:val="en-US" w:eastAsia="zh-CN"/>
        </w:rPr>
        <w:t>子基金申报指南</w:t>
      </w:r>
    </w:p>
    <w:p w14:paraId="3C940939">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方正小标宋简体" w:cs="Times New Roman"/>
          <w:spacing w:val="0"/>
          <w:sz w:val="44"/>
          <w:szCs w:val="44"/>
          <w:lang w:val="en-US" w:eastAsia="zh-CN"/>
        </w:rPr>
      </w:pPr>
    </w:p>
    <w:p w14:paraId="2A56ADA0">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一、基本情况</w:t>
      </w:r>
    </w:p>
    <w:p w14:paraId="07B61D90">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云南省高原特色农业股权投资基金合伙企业（有限合伙）（以下简称</w:t>
      </w:r>
      <w:r>
        <w:rPr>
          <w:rFonts w:hint="eastAsia" w:ascii="仿宋_GB2312" w:hAnsi="仿宋_GB2312" w:eastAsia="仿宋_GB2312" w:cs="仿宋_GB2312"/>
          <w:spacing w:val="0"/>
          <w:sz w:val="32"/>
          <w:szCs w:val="32"/>
          <w:lang w:val="en-US" w:eastAsia="zh-CN"/>
        </w:rPr>
        <w:t>“省农业基金”</w:t>
      </w:r>
      <w:r>
        <w:rPr>
          <w:rFonts w:hint="default" w:ascii="Times New Roman" w:hAnsi="Times New Roman" w:eastAsia="仿宋_GB2312" w:cs="Times New Roman"/>
          <w:spacing w:val="0"/>
          <w:sz w:val="32"/>
          <w:szCs w:val="32"/>
          <w:lang w:val="en-US" w:eastAsia="zh-CN"/>
        </w:rPr>
        <w:t>）是经云南省人民政府批准设立的有限合伙型母基金，于2025年1月20日注册于云南省昆明市西山区，认缴规模30.01亿元以上。</w:t>
      </w:r>
    </w:p>
    <w:p w14:paraId="4E9612E3">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省农业基金按照</w:t>
      </w:r>
      <w:r>
        <w:rPr>
          <w:rFonts w:hint="eastAsia" w:ascii="仿宋_GB2312" w:hAnsi="仿宋_GB2312" w:eastAsia="仿宋_GB2312" w:cs="仿宋_GB2312"/>
          <w:spacing w:val="0"/>
          <w:sz w:val="32"/>
          <w:szCs w:val="32"/>
          <w:u w:val="none"/>
          <w:lang w:val="en-US" w:eastAsia="zh-CN"/>
        </w:rPr>
        <w:t>“</w:t>
      </w:r>
      <w:r>
        <w:rPr>
          <w:rFonts w:hint="eastAsia" w:ascii="仿宋_GB2312" w:hAnsi="仿宋_GB2312" w:eastAsia="仿宋_GB2312" w:cs="仿宋_GB2312"/>
          <w:kern w:val="0"/>
          <w:sz w:val="32"/>
          <w:szCs w:val="32"/>
          <w:u w:val="none"/>
          <w:lang w:val="en-US" w:eastAsia="zh-CN" w:bidi="ar"/>
        </w:rPr>
        <w:t>成熟一只，投资一只</w:t>
      </w:r>
      <w:r>
        <w:rPr>
          <w:rFonts w:hint="eastAsia" w:ascii="仿宋_GB2312" w:hAnsi="仿宋_GB2312" w:eastAsia="仿宋_GB2312" w:cs="仿宋_GB2312"/>
          <w:spacing w:val="0"/>
          <w:sz w:val="32"/>
          <w:szCs w:val="32"/>
          <w:u w:val="none"/>
          <w:lang w:val="en-US" w:eastAsia="zh-CN"/>
        </w:rPr>
        <w:t>”</w:t>
      </w:r>
      <w:r>
        <w:rPr>
          <w:rFonts w:hint="default" w:ascii="Times New Roman" w:hAnsi="Times New Roman" w:eastAsia="仿宋_GB2312" w:cs="Times New Roman"/>
          <w:spacing w:val="0"/>
          <w:sz w:val="32"/>
          <w:szCs w:val="32"/>
          <w:u w:val="none"/>
          <w:lang w:val="en-US" w:eastAsia="zh-CN"/>
        </w:rPr>
        <w:t>的原则</w:t>
      </w:r>
      <w:r>
        <w:rPr>
          <w:rFonts w:hint="default" w:ascii="仿宋_GB2312" w:hAnsi="Times New Roman" w:eastAsia="仿宋_GB2312" w:cs="仿宋_GB2312"/>
          <w:kern w:val="0"/>
          <w:sz w:val="32"/>
          <w:szCs w:val="32"/>
          <w:u w:val="none"/>
          <w:lang w:val="en-US" w:eastAsia="zh-CN" w:bidi="ar"/>
        </w:rPr>
        <w:t>开展子基金投资工作</w:t>
      </w:r>
      <w:r>
        <w:rPr>
          <w:rFonts w:hint="default" w:ascii="Times New Roman" w:hAnsi="Times New Roman" w:eastAsia="仿宋_GB2312" w:cs="Times New Roman"/>
          <w:spacing w:val="0"/>
          <w:sz w:val="32"/>
          <w:szCs w:val="32"/>
          <w:u w:val="none"/>
          <w:lang w:val="en-US" w:eastAsia="zh-CN"/>
        </w:rPr>
        <w:t>，</w:t>
      </w:r>
      <w:r>
        <w:rPr>
          <w:rFonts w:hint="default" w:ascii="Times New Roman" w:hAnsi="Times New Roman" w:eastAsia="仿宋_GB2312" w:cs="Times New Roman"/>
          <w:spacing w:val="0"/>
          <w:sz w:val="32"/>
          <w:szCs w:val="32"/>
          <w:lang w:val="en-US" w:eastAsia="zh-CN"/>
        </w:rPr>
        <w:t>包括：新发起设立子基金（以下简称</w:t>
      </w:r>
      <w:r>
        <w:rPr>
          <w:rFonts w:hint="eastAsia" w:ascii="仿宋_GB2312" w:hAnsi="仿宋_GB2312" w:eastAsia="仿宋_GB2312" w:cs="仿宋_GB2312"/>
          <w:spacing w:val="0"/>
          <w:sz w:val="32"/>
          <w:szCs w:val="32"/>
          <w:lang w:val="en-US" w:eastAsia="zh-CN"/>
        </w:rPr>
        <w:t>“新设子基金”）和参股已设立子基金（以下简称“参股子基金”）两种形式。如无特殊说明，以下“新设子基金”和“参股子基金”统称“子基金”</w:t>
      </w:r>
      <w:r>
        <w:rPr>
          <w:rFonts w:hint="default" w:ascii="Times New Roman" w:hAnsi="Times New Roman" w:eastAsia="仿宋_GB2312" w:cs="Times New Roman"/>
          <w:spacing w:val="0"/>
          <w:sz w:val="32"/>
          <w:szCs w:val="32"/>
          <w:lang w:val="en-US" w:eastAsia="zh-CN"/>
        </w:rPr>
        <w:t>。</w:t>
      </w:r>
    </w:p>
    <w:p w14:paraId="123347B2">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二、子基金要求</w:t>
      </w:r>
    </w:p>
    <w:p w14:paraId="239A0F8C">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（一）子基金定位</w:t>
      </w:r>
    </w:p>
    <w:p w14:paraId="11CA449B">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围绕云南省委省政府关于促进云南省高原特色农业发展的政策目标，在省农业基金的指导和监督下，通过市场化手段扩大对云南省农业企业的股权投资规模，支持云南高原特色农业重点产业高质量发展。</w:t>
      </w:r>
    </w:p>
    <w:p w14:paraId="43DD8624">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（二）设立形式</w:t>
      </w:r>
    </w:p>
    <w:p w14:paraId="644148E9">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u w:val="none"/>
          <w:lang w:val="en-US" w:eastAsia="zh-CN"/>
        </w:rPr>
        <w:t>有限合伙企业型，封闭式基金</w:t>
      </w:r>
      <w:r>
        <w:rPr>
          <w:rFonts w:hint="default" w:ascii="Times New Roman" w:hAnsi="Times New Roman" w:eastAsia="仿宋_GB2312" w:cs="Times New Roman"/>
          <w:spacing w:val="0"/>
          <w:sz w:val="32"/>
          <w:szCs w:val="32"/>
          <w:lang w:val="en-US" w:eastAsia="zh-CN"/>
        </w:rPr>
        <w:t>。</w:t>
      </w:r>
    </w:p>
    <w:p w14:paraId="42D3D07C">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注册地</w:t>
      </w:r>
    </w:p>
    <w:p w14:paraId="17611420">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鼓励优先注册在云南省境内。</w:t>
      </w:r>
    </w:p>
    <w:p w14:paraId="4E2B53B1">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（四）存续期限</w:t>
      </w:r>
    </w:p>
    <w:p w14:paraId="79D8CD10">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子基金存续期不得超过省农业基金存续期，原则上不超过10年，具体情况以省农业基金审批为准。</w:t>
      </w:r>
    </w:p>
    <w:p w14:paraId="6F15F46B">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（五）出资安排</w:t>
      </w:r>
    </w:p>
    <w:p w14:paraId="17FD349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省农业基金出资比例原则</w:t>
      </w:r>
      <w:r>
        <w:rPr>
          <w:rFonts w:hint="default" w:ascii="Times New Roman" w:hAnsi="Times New Roman" w:eastAsia="仿宋_GB2312" w:cs="Times New Roman"/>
          <w:spacing w:val="0"/>
          <w:sz w:val="32"/>
          <w:szCs w:val="32"/>
          <w:u w:val="none"/>
          <w:lang w:val="en-US" w:eastAsia="zh-CN"/>
        </w:rPr>
        <w:t>上</w:t>
      </w:r>
      <w:r>
        <w:rPr>
          <w:rFonts w:hint="eastAsia" w:eastAsia="仿宋_GB2312" w:cs="Times New Roman"/>
          <w:spacing w:val="0"/>
          <w:sz w:val="32"/>
          <w:szCs w:val="32"/>
          <w:u w:val="none"/>
          <w:lang w:val="en-US" w:eastAsia="zh-CN"/>
        </w:rPr>
        <w:t>最高</w:t>
      </w:r>
      <w:r>
        <w:rPr>
          <w:rFonts w:hint="default" w:ascii="Times New Roman" w:hAnsi="Times New Roman" w:eastAsia="仿宋_GB2312" w:cs="Times New Roman"/>
          <w:spacing w:val="0"/>
          <w:sz w:val="32"/>
          <w:szCs w:val="32"/>
          <w:u w:val="none"/>
          <w:lang w:val="en-US" w:eastAsia="zh-CN"/>
        </w:rPr>
        <w:t>不超过子基金认缴总规模的50%，其余向社会募集。子基金各有限合伙人同比例实缴出资，省农业基金的出资原则上不早于其他有限合伙人的出资。</w:t>
      </w:r>
      <w:r>
        <w:rPr>
          <w:rFonts w:hint="default" w:ascii="Times New Roman" w:hAnsi="Times New Roman" w:eastAsia="仿宋_GB2312" w:cs="Times New Roman"/>
          <w:spacing w:val="0"/>
          <w:sz w:val="32"/>
          <w:szCs w:val="32"/>
          <w:highlight w:val="none"/>
          <w:u w:val="none"/>
          <w:lang w:val="en-US" w:eastAsia="zh-CN"/>
        </w:rPr>
        <w:t>子基金管理机构认缴出资金额不得低于监管规定的最低要求，一次性出资到位，</w:t>
      </w:r>
      <w:r>
        <w:rPr>
          <w:rFonts w:hint="default" w:ascii="Times New Roman" w:hAnsi="Times New Roman" w:eastAsia="仿宋_GB2312" w:cs="Times New Roman"/>
          <w:spacing w:val="0"/>
          <w:sz w:val="32"/>
          <w:szCs w:val="32"/>
          <w:highlight w:val="none"/>
          <w:lang w:val="en-US" w:eastAsia="zh-CN"/>
        </w:rPr>
        <w:t>同时，子基金管理机构及其关联方认缴出资金额不低于子基金认缴规模的10%。子基金管理机构关联方</w:t>
      </w:r>
      <w:r>
        <w:rPr>
          <w:rFonts w:hint="default" w:ascii="Times New Roman" w:hAnsi="Times New Roman" w:eastAsia="仿宋_GB2312" w:cs="Times New Roman"/>
          <w:spacing w:val="0"/>
          <w:sz w:val="32"/>
          <w:szCs w:val="32"/>
          <w:highlight w:val="none"/>
        </w:rPr>
        <w:t>是指与</w:t>
      </w:r>
      <w:r>
        <w:rPr>
          <w:rFonts w:hint="default" w:ascii="Times New Roman" w:hAnsi="Times New Roman" w:eastAsia="仿宋_GB2312" w:cs="Times New Roman"/>
          <w:spacing w:val="0"/>
          <w:sz w:val="32"/>
          <w:szCs w:val="32"/>
          <w:highlight w:val="none"/>
          <w:lang w:val="en-US" w:eastAsia="zh-CN"/>
        </w:rPr>
        <w:t>管理机构</w:t>
      </w:r>
      <w:r>
        <w:rPr>
          <w:rFonts w:hint="default" w:ascii="Times New Roman" w:hAnsi="Times New Roman" w:eastAsia="仿宋_GB2312" w:cs="Times New Roman"/>
          <w:spacing w:val="0"/>
          <w:sz w:val="32"/>
          <w:szCs w:val="32"/>
          <w:highlight w:val="none"/>
        </w:rPr>
        <w:t>存在一方控制另一方，或对另一方施加重大影响，以及与</w:t>
      </w:r>
      <w:r>
        <w:rPr>
          <w:rFonts w:hint="default" w:ascii="Times New Roman" w:hAnsi="Times New Roman" w:eastAsia="仿宋_GB2312" w:cs="Times New Roman"/>
          <w:spacing w:val="0"/>
          <w:sz w:val="32"/>
          <w:szCs w:val="32"/>
          <w:highlight w:val="none"/>
          <w:lang w:val="en-US" w:eastAsia="zh-CN"/>
        </w:rPr>
        <w:t>管理机构</w:t>
      </w:r>
      <w:r>
        <w:rPr>
          <w:rFonts w:hint="default" w:ascii="Times New Roman" w:hAnsi="Times New Roman" w:eastAsia="仿宋_GB2312" w:cs="Times New Roman"/>
          <w:spacing w:val="0"/>
          <w:sz w:val="32"/>
          <w:szCs w:val="32"/>
          <w:highlight w:val="none"/>
        </w:rPr>
        <w:t>同受一方控制或重大影响的</w:t>
      </w:r>
      <w:r>
        <w:rPr>
          <w:rFonts w:hint="default" w:ascii="Times New Roman" w:hAnsi="Times New Roman" w:eastAsia="仿宋_GB2312" w:cs="Times New Roman"/>
          <w:spacing w:val="0"/>
          <w:sz w:val="32"/>
          <w:szCs w:val="32"/>
          <w:highlight w:val="none"/>
          <w:lang w:val="en-US" w:eastAsia="zh-CN"/>
        </w:rPr>
        <w:t>其他</w:t>
      </w:r>
      <w:r>
        <w:rPr>
          <w:rFonts w:hint="default" w:ascii="Times New Roman" w:hAnsi="Times New Roman" w:eastAsia="仿宋_GB2312" w:cs="Times New Roman"/>
          <w:spacing w:val="0"/>
          <w:sz w:val="32"/>
          <w:szCs w:val="32"/>
          <w:highlight w:val="none"/>
        </w:rPr>
        <w:t>主体</w:t>
      </w:r>
      <w:r>
        <w:rPr>
          <w:rFonts w:hint="default" w:ascii="Times New Roman" w:hAnsi="Times New Roman" w:eastAsia="仿宋_GB2312" w:cs="Times New Roman"/>
          <w:spacing w:val="0"/>
          <w:sz w:val="32"/>
          <w:szCs w:val="32"/>
          <w:highlight w:val="none"/>
          <w:lang w:val="en-US" w:eastAsia="zh-CN"/>
        </w:rPr>
        <w:t>，具体由省农业基金负责解释。</w:t>
      </w:r>
    </w:p>
    <w:p w14:paraId="5EA9EB28">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（六）管理费</w:t>
      </w:r>
    </w:p>
    <w:p w14:paraId="110E4205">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子基金中省农业基金出资部分的管理费原则上不超过已投未退金额的2%/年。延长期不收取管理费。管理费的兑现与子基金年度绩效考核挂钩。子基金管理机构市场化募资部分的管理费率及兑现方式由子基金管</w:t>
      </w:r>
      <w:bookmarkStart w:id="0" w:name="_GoBack"/>
      <w:bookmarkEnd w:id="0"/>
      <w:r>
        <w:rPr>
          <w:rFonts w:hint="default" w:ascii="Times New Roman" w:hAnsi="Times New Roman" w:eastAsia="仿宋_GB2312" w:cs="Times New Roman"/>
          <w:spacing w:val="0"/>
          <w:sz w:val="32"/>
          <w:szCs w:val="32"/>
          <w:lang w:val="en-US" w:eastAsia="zh-CN"/>
        </w:rPr>
        <w:t>理机构与社会出资人协商确定。</w:t>
      </w:r>
    </w:p>
    <w:p w14:paraId="72D203A4">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（七）收益分配</w:t>
      </w:r>
    </w:p>
    <w:p w14:paraId="6814B2FF">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rPr>
        <w:t>收益分配采取基金</w:t>
      </w:r>
      <w:r>
        <w:rPr>
          <w:rFonts w:hint="default" w:ascii="Times New Roman" w:hAnsi="Times New Roman" w:eastAsia="仿宋_GB2312" w:cs="Times New Roman"/>
          <w:spacing w:val="0"/>
          <w:sz w:val="32"/>
          <w:szCs w:val="32"/>
          <w:u w:val="none"/>
        </w:rPr>
        <w:t>整体先回本后分红模式并设置门槛收益率</w:t>
      </w:r>
      <w:r>
        <w:rPr>
          <w:rFonts w:hint="default" w:ascii="Times New Roman" w:hAnsi="Times New Roman" w:eastAsia="仿宋_GB2312" w:cs="Times New Roman"/>
          <w:spacing w:val="0"/>
          <w:sz w:val="32"/>
          <w:szCs w:val="32"/>
          <w:u w:val="none"/>
          <w:lang w:val="en-US" w:eastAsia="zh-CN"/>
        </w:rPr>
        <w:t>。省农业基金出资部分可对其他社会出资人及子基金管理机构进行让利，让利机制在子基金合伙协议中予以明确。</w:t>
      </w:r>
    </w:p>
    <w:p w14:paraId="16E4781A">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（八）绩效考核</w:t>
      </w:r>
    </w:p>
    <w:p w14:paraId="6355B158">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省农业基金根据子基金规模、投资领域及存续期按年设置不同的绩效考核指标，并进行考核。绩效考核结果将作为子基金存续、资金动态调整、管理费提取和管理机构更换的重要依据。绩效考核以</w:t>
      </w:r>
      <w:r>
        <w:rPr>
          <w:rFonts w:hint="default" w:ascii="Times New Roman" w:hAnsi="Times New Roman" w:eastAsia="仿宋_GB2312" w:cs="Times New Roman"/>
          <w:spacing w:val="0"/>
          <w:sz w:val="32"/>
          <w:szCs w:val="32"/>
          <w:u w:val="none"/>
          <w:lang w:val="en-US" w:eastAsia="zh-CN"/>
        </w:rPr>
        <w:t>基金整体综合效益</w:t>
      </w:r>
      <w:r>
        <w:rPr>
          <w:rFonts w:hint="default" w:ascii="Times New Roman" w:hAnsi="Times New Roman" w:eastAsia="仿宋_GB2312" w:cs="Times New Roman"/>
          <w:spacing w:val="0"/>
          <w:sz w:val="32"/>
          <w:szCs w:val="32"/>
          <w:lang w:val="en-US" w:eastAsia="zh-CN"/>
        </w:rPr>
        <w:t>进行考核，不以单个项目的业绩情况对管理机构实施考核。</w:t>
      </w:r>
    </w:p>
    <w:p w14:paraId="24C8BC91">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（九）返投及其认定</w:t>
      </w:r>
    </w:p>
    <w:p w14:paraId="6CC47EBE">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u w:val="none"/>
          <w:lang w:val="en-US" w:eastAsia="zh-CN"/>
        </w:rPr>
      </w:pPr>
      <w:r>
        <w:rPr>
          <w:rFonts w:hint="default" w:ascii="Times New Roman" w:hAnsi="Times New Roman" w:eastAsia="仿宋_GB2312" w:cs="Times New Roman"/>
          <w:spacing w:val="0"/>
          <w:sz w:val="32"/>
          <w:szCs w:val="32"/>
          <w:lang w:val="en-US" w:eastAsia="zh-CN"/>
        </w:rPr>
        <w:t>子基金</w:t>
      </w:r>
      <w:r>
        <w:rPr>
          <w:rFonts w:hint="default" w:ascii="Times New Roman" w:hAnsi="Times New Roman" w:eastAsia="仿宋_GB2312" w:cs="Times New Roman"/>
          <w:spacing w:val="0"/>
          <w:sz w:val="32"/>
          <w:szCs w:val="32"/>
          <w:u w:val="none"/>
          <w:lang w:val="en-US" w:eastAsia="zh-CN"/>
        </w:rPr>
        <w:t>对云南省内项目的投资不低于省农业基金对子基金出资的1.2倍。返投云南省内的投资额认定范围包括：</w:t>
      </w:r>
    </w:p>
    <w:p w14:paraId="2952C125">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u w:val="none"/>
          <w:lang w:val="en-US" w:eastAsia="zh-CN"/>
        </w:rPr>
      </w:pPr>
      <w:r>
        <w:rPr>
          <w:rFonts w:hint="default" w:ascii="Times New Roman" w:hAnsi="Times New Roman" w:eastAsia="仿宋_GB2312" w:cs="Times New Roman"/>
          <w:spacing w:val="0"/>
          <w:sz w:val="32"/>
          <w:szCs w:val="32"/>
          <w:u w:val="none"/>
          <w:lang w:val="en-US" w:eastAsia="zh-CN"/>
        </w:rPr>
        <w:t>1.基金存续期内，被投省外企业注册地迁至云南省域内且在5年内未迁出或被云南省内企业通过收购并表的实际投资额；</w:t>
      </w:r>
    </w:p>
    <w:p w14:paraId="399DCC3A">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2.被投省外企业通过基金投资，将其企业总部、区域总部、纳税主体、生产基地、研发基地落户云南省内，或在云南省内成立子公司的实际投资额；</w:t>
      </w:r>
    </w:p>
    <w:p w14:paraId="2C29D6DA">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3.基金管理机构或属于同一实际控制人在管的，不属于云南省政府投资基金体系内的其他基金，新增对云南省内企业的投资额或新增投资外地企业且符合前述情形的实际投资额。</w:t>
      </w:r>
    </w:p>
    <w:p w14:paraId="74AB9B5B">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（十）投资方式</w:t>
      </w:r>
    </w:p>
    <w:p w14:paraId="6388CB18">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主要对企业开展</w:t>
      </w:r>
      <w:r>
        <w:rPr>
          <w:rFonts w:hint="default" w:ascii="Times New Roman" w:hAnsi="Times New Roman" w:eastAsia="仿宋_GB2312" w:cs="Times New Roman"/>
          <w:spacing w:val="0"/>
          <w:sz w:val="32"/>
          <w:szCs w:val="32"/>
          <w:u w:val="none"/>
          <w:lang w:val="en-US" w:eastAsia="zh-CN"/>
        </w:rPr>
        <w:t>股权投资</w:t>
      </w:r>
      <w:r>
        <w:rPr>
          <w:rFonts w:hint="default" w:ascii="Times New Roman" w:hAnsi="Times New Roman" w:eastAsia="仿宋_GB2312" w:cs="Times New Roman"/>
          <w:spacing w:val="0"/>
          <w:sz w:val="32"/>
          <w:szCs w:val="32"/>
          <w:lang w:val="en-US" w:eastAsia="zh-CN"/>
        </w:rPr>
        <w:t>。</w:t>
      </w:r>
    </w:p>
    <w:p w14:paraId="08B1B4F6">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（十一）投资决策</w:t>
      </w:r>
    </w:p>
    <w:p w14:paraId="7BB40EC8">
      <w:pPr>
        <w:widowControl w:val="0"/>
        <w:spacing w:line="570" w:lineRule="exact"/>
        <w:ind w:firstLine="629"/>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子基金设投资决策委员会决策对外投资或退出，省农业基金视情况有权向子基金投资决策委员会委派若干委员，或作为观察员列席子基金投资决策委员会。子基金拟投资标的与子基金管理机构具有关联关系的，须经子基金全体合伙人一致同意方可投资。</w:t>
      </w:r>
    </w:p>
    <w:p w14:paraId="319FFBCB">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（十二）投资方向</w:t>
      </w:r>
    </w:p>
    <w:p w14:paraId="6513CF80">
      <w:pPr>
        <w:keepNext w:val="0"/>
        <w:keepLines w:val="0"/>
        <w:pageBreakBefore w:val="0"/>
        <w:kinsoku/>
        <w:wordWrap/>
        <w:overflowPunct/>
        <w:topLinePunct w:val="0"/>
        <w:autoSpaceDE/>
        <w:autoSpaceDN/>
        <w:bidi w:val="0"/>
        <w:adjustRightInd/>
        <w:snapToGrid/>
        <w:spacing w:after="0" w:line="570" w:lineRule="exact"/>
        <w:ind w:firstLine="632" w:firstLineChars="20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rPr>
        <w:t>主要围绕云南省粮食、茶叶、花卉、蔬菜（含食用菌）、水果、坚果、咖啡、中药材、牛羊、生猪、乡村旅游、烟草、蔗糖、天然橡胶</w:t>
      </w:r>
      <w:r>
        <w:rPr>
          <w:rFonts w:hint="eastAsia" w:ascii="仿宋_GB2312" w:hAnsi="仿宋_GB2312" w:eastAsia="仿宋_GB2312" w:cs="仿宋_GB2312"/>
          <w:color w:val="auto"/>
          <w:spacing w:val="0"/>
          <w:sz w:val="32"/>
          <w:szCs w:val="32"/>
          <w:highlight w:val="none"/>
        </w:rPr>
        <w:t>“</w:t>
      </w:r>
      <w:r>
        <w:rPr>
          <w:rFonts w:hint="default" w:ascii="Times New Roman" w:hAnsi="Times New Roman" w:eastAsia="仿宋_GB2312" w:cs="Times New Roman"/>
          <w:color w:val="auto"/>
          <w:spacing w:val="0"/>
          <w:sz w:val="32"/>
          <w:szCs w:val="32"/>
          <w:highlight w:val="none"/>
        </w:rPr>
        <w:t>1+10+3</w:t>
      </w:r>
      <w:r>
        <w:rPr>
          <w:rFonts w:hint="eastAsia" w:eastAsia="仿宋_GB2312" w:cs="Times New Roman"/>
          <w:color w:val="auto"/>
          <w:spacing w:val="0"/>
          <w:sz w:val="32"/>
          <w:szCs w:val="32"/>
          <w:highlight w:val="none"/>
          <w:lang w:val="en-US" w:eastAsia="zh-CN"/>
        </w:rPr>
        <w:t>+N</w:t>
      </w:r>
      <w:r>
        <w:rPr>
          <w:rFonts w:hint="default" w:ascii="仿宋_GB2312" w:hAnsi="仿宋_GB2312" w:eastAsia="仿宋_GB2312" w:cs="仿宋_GB2312"/>
          <w:color w:val="auto"/>
          <w:spacing w:val="0"/>
          <w:sz w:val="32"/>
          <w:szCs w:val="32"/>
          <w:highlight w:val="none"/>
        </w:rPr>
        <w:t>”</w:t>
      </w:r>
      <w:r>
        <w:rPr>
          <w:rFonts w:hint="default" w:ascii="Times New Roman" w:hAnsi="Times New Roman" w:eastAsia="仿宋_GB2312" w:cs="Times New Roman"/>
          <w:color w:val="auto"/>
          <w:spacing w:val="0"/>
          <w:sz w:val="32"/>
          <w:szCs w:val="32"/>
          <w:highlight w:val="none"/>
        </w:rPr>
        <w:t>重点产业，以及林下经济、干热河谷开发等综合性、区域性投资，农业科技等农业社会化服务优质项目等其他特定细分领域开展投资</w:t>
      </w:r>
      <w:r>
        <w:rPr>
          <w:rFonts w:hint="default" w:ascii="Times New Roman" w:hAnsi="Times New Roman" w:eastAsia="仿宋_GB2312" w:cs="Times New Roman"/>
          <w:spacing w:val="0"/>
          <w:sz w:val="32"/>
          <w:szCs w:val="32"/>
          <w:lang w:val="en-US" w:eastAsia="zh-CN"/>
        </w:rPr>
        <w:t>。</w:t>
      </w:r>
    </w:p>
    <w:p w14:paraId="6F70D6F0">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（十三）退出机制</w:t>
      </w:r>
    </w:p>
    <w:p w14:paraId="128D78EF">
      <w:pPr>
        <w:keepNext w:val="0"/>
        <w:keepLines w:val="0"/>
        <w:pageBreakBefore w:val="0"/>
        <w:kinsoku/>
        <w:wordWrap/>
        <w:overflowPunct/>
        <w:topLinePunct w:val="0"/>
        <w:autoSpaceDE/>
        <w:autoSpaceDN/>
        <w:bidi w:val="0"/>
        <w:adjustRightInd/>
        <w:snapToGrid/>
        <w:spacing w:after="0" w:line="570" w:lineRule="exact"/>
        <w:ind w:firstLine="632" w:firstLineChars="20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子基金各合伙人原则上通过到期清算退出。到期清算时，按各方实缴出资比例分配收益或承担损失。省农业基金视绩效考核情况有权设立提前退出的条件和程序。</w:t>
      </w:r>
    </w:p>
    <w:p w14:paraId="22F06F88">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（十四）投资限制</w:t>
      </w:r>
    </w:p>
    <w:p w14:paraId="6B163C27">
      <w:pPr>
        <w:spacing w:line="570" w:lineRule="exact"/>
        <w:ind w:firstLine="632" w:firstLineChars="200"/>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子</w:t>
      </w:r>
      <w:r>
        <w:rPr>
          <w:rFonts w:hint="default" w:ascii="Times New Roman" w:hAnsi="Times New Roman" w:eastAsia="仿宋_GB2312" w:cs="Times New Roman"/>
          <w:spacing w:val="0"/>
          <w:sz w:val="32"/>
          <w:szCs w:val="32"/>
        </w:rPr>
        <w:t>基金不得从事以下业务：</w:t>
      </w:r>
    </w:p>
    <w:p w14:paraId="5959822D">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1</w:t>
      </w:r>
      <w:r>
        <w:rPr>
          <w:rFonts w:hint="default" w:ascii="Times New Roman" w:hAnsi="Times New Roman" w:eastAsia="仿宋_GB2312" w:cs="Times New Roman"/>
          <w:spacing w:val="0"/>
          <w:sz w:val="32"/>
          <w:szCs w:val="32"/>
        </w:rPr>
        <w:t>.从事担保、抵押、委托贷款等业务，投向保理资产、融资租赁资产、典当资产等类信贷资产、股权或其收（受）益权。</w:t>
      </w:r>
    </w:p>
    <w:p w14:paraId="50B279E2">
      <w:pPr>
        <w:spacing w:line="570" w:lineRule="exact"/>
        <w:ind w:firstLine="632" w:firstLineChars="200"/>
        <w:rPr>
          <w:rFonts w:hint="eastAsia" w:eastAsia="仿宋_GB2312" w:cs="Times New Roman"/>
          <w:spacing w:val="0"/>
          <w:sz w:val="32"/>
          <w:szCs w:val="32"/>
          <w:lang w:val="en-US" w:eastAsia="zh-CN"/>
        </w:rPr>
      </w:pPr>
      <w:r>
        <w:rPr>
          <w:rFonts w:hint="eastAsia" w:eastAsia="仿宋_GB2312" w:cs="Times New Roman"/>
          <w:spacing w:val="0"/>
          <w:sz w:val="32"/>
          <w:szCs w:val="32"/>
          <w:lang w:val="en-US" w:eastAsia="zh-CN"/>
        </w:rPr>
        <w:t>2.通过名股实债等方式变相增加地方政府隐性债务。</w:t>
      </w:r>
    </w:p>
    <w:p w14:paraId="634D780B">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3.</w:t>
      </w:r>
      <w:r>
        <w:rPr>
          <w:rFonts w:hint="default" w:ascii="Times New Roman" w:hAnsi="Times New Roman" w:eastAsia="仿宋_GB2312" w:cs="Times New Roman"/>
          <w:spacing w:val="0"/>
          <w:sz w:val="32"/>
          <w:szCs w:val="32"/>
        </w:rPr>
        <w:t>投资二级市场股票、期货、房地产、证券投资基金、评级AAA以下的企业债、信托产品、非保本型理财产品、保险计划及其他金融衍生品。</w:t>
      </w:r>
    </w:p>
    <w:p w14:paraId="25541C04">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4</w:t>
      </w:r>
      <w:r>
        <w:rPr>
          <w:rFonts w:hint="default" w:ascii="Times New Roman" w:hAnsi="Times New Roman" w:eastAsia="仿宋_GB2312" w:cs="Times New Roman"/>
          <w:spacing w:val="0"/>
          <w:sz w:val="32"/>
          <w:szCs w:val="32"/>
        </w:rPr>
        <w:t>.向任何第三方提供赞助、捐赠（经批准的公益性捐赠除外）。</w:t>
      </w:r>
    </w:p>
    <w:p w14:paraId="7F366A78">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5</w:t>
      </w:r>
      <w:r>
        <w:rPr>
          <w:rFonts w:hint="default" w:ascii="Times New Roman" w:hAnsi="Times New Roman" w:eastAsia="仿宋_GB2312" w:cs="Times New Roman"/>
          <w:spacing w:val="0"/>
          <w:sz w:val="32"/>
          <w:szCs w:val="32"/>
        </w:rPr>
        <w:t>.吸收或变相吸收存款，或向第三方提供贷款和资金拆借。</w:t>
      </w:r>
    </w:p>
    <w:p w14:paraId="5E10EAEE">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6</w:t>
      </w:r>
      <w:r>
        <w:rPr>
          <w:rFonts w:hint="default" w:ascii="Times New Roman" w:hAnsi="Times New Roman" w:eastAsia="仿宋_GB2312" w:cs="Times New Roman"/>
          <w:spacing w:val="0"/>
          <w:sz w:val="32"/>
          <w:szCs w:val="32"/>
        </w:rPr>
        <w:t>.进行承担无限连带责任的对外投资。</w:t>
      </w:r>
    </w:p>
    <w:p w14:paraId="265F4BB6">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7</w:t>
      </w:r>
      <w:r>
        <w:rPr>
          <w:rFonts w:hint="default" w:ascii="Times New Roman" w:hAnsi="Times New Roman" w:eastAsia="仿宋_GB2312" w:cs="Times New Roman"/>
          <w:spacing w:val="0"/>
          <w:sz w:val="32"/>
          <w:szCs w:val="32"/>
        </w:rPr>
        <w:t>.发行信托或集合理财产品募集资金。</w:t>
      </w:r>
    </w:p>
    <w:p w14:paraId="1D5D38C9">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8</w:t>
      </w:r>
      <w:r>
        <w:rPr>
          <w:rFonts w:hint="default" w:ascii="Times New Roman" w:hAnsi="Times New Roman" w:eastAsia="仿宋_GB2312" w:cs="Times New Roman"/>
          <w:spacing w:val="0"/>
          <w:sz w:val="32"/>
          <w:szCs w:val="32"/>
        </w:rPr>
        <w:t>.通过基金以任何方式变相举债。</w:t>
      </w:r>
    </w:p>
    <w:p w14:paraId="422F211C">
      <w:pPr>
        <w:spacing w:line="570" w:lineRule="exact"/>
        <w:ind w:firstLine="632" w:firstLineChars="200"/>
        <w:rPr>
          <w:rFonts w:hint="default" w:ascii="Times New Roman" w:hAnsi="Times New Roman" w:eastAsia="仿宋_GB2312" w:cs="Times New Roman"/>
          <w:spacing w:val="0"/>
          <w:sz w:val="32"/>
          <w:szCs w:val="32"/>
        </w:rPr>
      </w:pPr>
      <w:r>
        <w:rPr>
          <w:rFonts w:hint="eastAsia" w:eastAsia="仿宋_GB2312" w:cs="Times New Roman"/>
          <w:spacing w:val="0"/>
          <w:sz w:val="32"/>
          <w:szCs w:val="32"/>
          <w:lang w:val="en-US" w:eastAsia="zh-CN"/>
        </w:rPr>
        <w:t>9</w:t>
      </w:r>
      <w:r>
        <w:rPr>
          <w:rFonts w:hint="default" w:ascii="Times New Roman" w:hAnsi="Times New Roman" w:eastAsia="仿宋_GB2312" w:cs="Times New Roman"/>
          <w:spacing w:val="0"/>
          <w:sz w:val="32"/>
          <w:szCs w:val="32"/>
        </w:rPr>
        <w:t>.高污染、高耗能、落后产能等国家和</w:t>
      </w:r>
      <w:r>
        <w:rPr>
          <w:rFonts w:hint="default" w:ascii="Times New Roman" w:hAnsi="Times New Roman" w:eastAsia="仿宋_GB2312" w:cs="Times New Roman"/>
          <w:spacing w:val="0"/>
          <w:sz w:val="32"/>
          <w:szCs w:val="32"/>
          <w:lang w:val="en-US" w:eastAsia="zh-CN"/>
        </w:rPr>
        <w:t>云南省</w:t>
      </w:r>
      <w:r>
        <w:rPr>
          <w:rFonts w:hint="default" w:ascii="Times New Roman" w:hAnsi="Times New Roman" w:eastAsia="仿宋_GB2312" w:cs="Times New Roman"/>
          <w:spacing w:val="0"/>
          <w:sz w:val="32"/>
          <w:szCs w:val="32"/>
        </w:rPr>
        <w:t>限制行业。</w:t>
      </w:r>
    </w:p>
    <w:p w14:paraId="0E6ABD1D">
      <w:pPr>
        <w:spacing w:line="570" w:lineRule="exact"/>
        <w:ind w:firstLine="632" w:firstLineChars="200"/>
        <w:rPr>
          <w:rFonts w:hint="default" w:ascii="Times New Roman" w:hAnsi="Times New Roman" w:eastAsia="仿宋_GB2312" w:cs="Times New Roman"/>
          <w:spacing w:val="0"/>
          <w:lang w:val="en-US" w:eastAsia="zh-CN"/>
        </w:rPr>
      </w:pPr>
      <w:r>
        <w:rPr>
          <w:rFonts w:hint="eastAsia" w:eastAsia="仿宋_GB2312" w:cs="Times New Roman"/>
          <w:spacing w:val="0"/>
          <w:sz w:val="32"/>
          <w:szCs w:val="32"/>
          <w:lang w:val="en-US" w:eastAsia="zh-CN"/>
        </w:rPr>
        <w:t>10</w:t>
      </w:r>
      <w:r>
        <w:rPr>
          <w:rFonts w:hint="default" w:ascii="Times New Roman" w:hAnsi="Times New Roman" w:eastAsia="仿宋_GB2312" w:cs="Times New Roman"/>
          <w:spacing w:val="0"/>
          <w:sz w:val="32"/>
          <w:szCs w:val="32"/>
        </w:rPr>
        <w:t>.其他国家法律法规禁止从事的业务。</w:t>
      </w:r>
    </w:p>
    <w:p w14:paraId="5848A67D">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三、管理机构申报要求</w:t>
      </w:r>
    </w:p>
    <w:p w14:paraId="4D078231">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（一）基本条件</w:t>
      </w:r>
    </w:p>
    <w:p w14:paraId="1D79EC8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1.注册资本金</w:t>
      </w:r>
    </w:p>
    <w:p w14:paraId="21BDBEC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管理机构须在中国大陆境内依法注册设立，注册资</w:t>
      </w:r>
      <w:r>
        <w:rPr>
          <w:rFonts w:hint="default" w:ascii="Times New Roman" w:hAnsi="Times New Roman" w:eastAsia="仿宋_GB2312" w:cs="Times New Roman"/>
          <w:color w:val="auto"/>
          <w:spacing w:val="0"/>
          <w:kern w:val="0"/>
          <w:sz w:val="32"/>
          <w:szCs w:val="32"/>
          <w:lang w:val="en-US" w:eastAsia="zh-CN"/>
        </w:rPr>
        <w:t>本实缴出资</w:t>
      </w:r>
      <w:r>
        <w:rPr>
          <w:rFonts w:hint="default" w:ascii="Times New Roman" w:hAnsi="Times New Roman" w:eastAsia="仿宋_GB2312" w:cs="Times New Roman"/>
          <w:color w:val="auto"/>
          <w:spacing w:val="0"/>
          <w:kern w:val="0"/>
          <w:sz w:val="32"/>
          <w:szCs w:val="32"/>
        </w:rPr>
        <w:t>不低于1000万元人民币。</w:t>
      </w:r>
    </w:p>
    <w:p w14:paraId="2914D900">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2.管理资质及荣誉</w:t>
      </w:r>
    </w:p>
    <w:p w14:paraId="2D093C29">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（1）已在中国证券投资基金业协会完成登记三年以上</w:t>
      </w:r>
      <w:r>
        <w:rPr>
          <w:rFonts w:hint="default" w:ascii="Times New Roman" w:hAnsi="Times New Roman" w:eastAsia="仿宋_GB2312" w:cs="Times New Roman"/>
          <w:color w:val="auto"/>
          <w:spacing w:val="0"/>
          <w:kern w:val="0"/>
          <w:sz w:val="32"/>
          <w:szCs w:val="32"/>
          <w:lang w:eastAsia="zh-CN"/>
        </w:rPr>
        <w:t>；</w:t>
      </w:r>
    </w:p>
    <w:p w14:paraId="31625FA5">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管理机构及主要人员（</w:t>
      </w:r>
      <w:r>
        <w:rPr>
          <w:rFonts w:hint="default" w:ascii="Times New Roman" w:hAnsi="Times New Roman" w:eastAsia="仿宋_GB2312" w:cs="Times New Roman"/>
          <w:color w:val="auto"/>
          <w:spacing w:val="0"/>
          <w:kern w:val="0"/>
          <w:sz w:val="32"/>
          <w:szCs w:val="32"/>
          <w:lang w:eastAsia="zh-CN"/>
        </w:rPr>
        <w:t>中级</w:t>
      </w:r>
      <w:r>
        <w:rPr>
          <w:rFonts w:hint="default" w:ascii="Times New Roman" w:hAnsi="Times New Roman" w:eastAsia="仿宋_GB2312" w:cs="Times New Roman"/>
          <w:color w:val="auto"/>
          <w:spacing w:val="0"/>
          <w:kern w:val="0"/>
          <w:sz w:val="32"/>
          <w:szCs w:val="32"/>
        </w:rPr>
        <w:t>及以上</w:t>
      </w:r>
      <w:r>
        <w:rPr>
          <w:rFonts w:hint="default" w:ascii="Times New Roman" w:hAnsi="Times New Roman" w:eastAsia="仿宋_GB2312" w:cs="Times New Roman"/>
          <w:color w:val="auto"/>
          <w:spacing w:val="0"/>
          <w:kern w:val="0"/>
          <w:sz w:val="32"/>
          <w:szCs w:val="32"/>
          <w:lang w:eastAsia="zh-CN"/>
        </w:rPr>
        <w:t>管理人员</w:t>
      </w:r>
      <w:r>
        <w:rPr>
          <w:rFonts w:hint="default" w:ascii="Times New Roman" w:hAnsi="Times New Roman" w:eastAsia="仿宋_GB2312" w:cs="Times New Roman"/>
          <w:color w:val="auto"/>
          <w:spacing w:val="0"/>
          <w:kern w:val="0"/>
          <w:sz w:val="32"/>
          <w:szCs w:val="32"/>
        </w:rPr>
        <w:t>）拥有良好的合规记录，近三年内未发生重大违法违规行为</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近一年内不存在管理团队成员大量离职等情况，拥有良好的稳定性</w:t>
      </w:r>
      <w:r>
        <w:rPr>
          <w:rFonts w:hint="default" w:ascii="Times New Roman" w:hAnsi="Times New Roman" w:eastAsia="仿宋_GB2312" w:cs="Times New Roman"/>
          <w:color w:val="auto"/>
          <w:spacing w:val="0"/>
          <w:kern w:val="0"/>
          <w:sz w:val="32"/>
          <w:szCs w:val="32"/>
          <w:lang w:eastAsia="zh-CN"/>
        </w:rPr>
        <w:t>；</w:t>
      </w:r>
    </w:p>
    <w:p w14:paraId="37FD1D6C">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（3）</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管理机构具有完善的公司治理、决策流程和内控机制，建立并实行了科学有效的激励约束机制</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lang w:val="en-US" w:eastAsia="zh-CN"/>
        </w:rPr>
        <w:t>具有固定的营业场所和与其业务相适应的软硬件设施</w:t>
      </w:r>
      <w:r>
        <w:rPr>
          <w:rFonts w:hint="default" w:ascii="Times New Roman" w:hAnsi="Times New Roman" w:eastAsia="仿宋_GB2312" w:cs="Times New Roman"/>
          <w:color w:val="auto"/>
          <w:spacing w:val="0"/>
          <w:kern w:val="0"/>
          <w:sz w:val="32"/>
          <w:szCs w:val="32"/>
          <w:lang w:eastAsia="zh-CN"/>
        </w:rPr>
        <w:t>；</w:t>
      </w:r>
    </w:p>
    <w:p w14:paraId="63892DBD">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管理机构拥有良好的业内口碑及市场认可度</w:t>
      </w:r>
      <w:r>
        <w:rPr>
          <w:rFonts w:hint="default" w:ascii="Times New Roman" w:hAnsi="Times New Roman" w:eastAsia="仿宋_GB2312" w:cs="Times New Roman"/>
          <w:color w:val="auto"/>
          <w:spacing w:val="0"/>
          <w:kern w:val="0"/>
          <w:sz w:val="32"/>
          <w:szCs w:val="32"/>
          <w:lang w:eastAsia="zh-CN"/>
        </w:rPr>
        <w:t>。</w:t>
      </w:r>
    </w:p>
    <w:p w14:paraId="35656220">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3.团队配备及规模</w:t>
      </w:r>
    </w:p>
    <w:p w14:paraId="5544B14E">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（1）配备的管理团队成员应具备管理</w:t>
      </w:r>
      <w:r>
        <w:rPr>
          <w:rFonts w:hint="default" w:ascii="Times New Roman" w:hAnsi="Times New Roman" w:eastAsia="仿宋_GB2312" w:cs="Times New Roman"/>
          <w:color w:val="auto"/>
          <w:spacing w:val="0"/>
          <w:kern w:val="0"/>
          <w:sz w:val="32"/>
          <w:szCs w:val="32"/>
          <w:highlight w:val="none"/>
          <w:lang w:eastAsia="zh-CN"/>
        </w:rPr>
        <w:t>私募</w:t>
      </w:r>
      <w:r>
        <w:rPr>
          <w:rFonts w:hint="default" w:ascii="Times New Roman" w:hAnsi="Times New Roman" w:eastAsia="仿宋_GB2312" w:cs="Times New Roman"/>
          <w:color w:val="auto"/>
          <w:spacing w:val="0"/>
          <w:kern w:val="0"/>
          <w:sz w:val="32"/>
          <w:szCs w:val="32"/>
          <w:highlight w:val="none"/>
        </w:rPr>
        <w:t>股权投资基金</w:t>
      </w:r>
      <w:r>
        <w:rPr>
          <w:rFonts w:hint="default" w:ascii="Times New Roman" w:hAnsi="Times New Roman" w:eastAsia="仿宋_GB2312" w:cs="Times New Roman"/>
          <w:color w:val="auto"/>
          <w:spacing w:val="0"/>
          <w:kern w:val="0"/>
          <w:sz w:val="32"/>
          <w:szCs w:val="32"/>
        </w:rPr>
        <w:t>的相关条件，拥有相关从业资格证书</w:t>
      </w:r>
      <w:r>
        <w:rPr>
          <w:rFonts w:hint="default" w:ascii="Times New Roman" w:hAnsi="Times New Roman" w:eastAsia="仿宋_GB2312" w:cs="Times New Roman"/>
          <w:color w:val="auto"/>
          <w:spacing w:val="0"/>
          <w:kern w:val="0"/>
          <w:sz w:val="32"/>
          <w:szCs w:val="32"/>
          <w:lang w:eastAsia="zh-CN"/>
        </w:rPr>
        <w:t>；</w:t>
      </w:r>
    </w:p>
    <w:p w14:paraId="32BAD91A">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（2）配备的核心成员（拟任</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的关键人士及专职高管</w:t>
      </w:r>
      <w:r>
        <w:rPr>
          <w:rFonts w:hint="default" w:ascii="Times New Roman" w:hAnsi="Times New Roman" w:eastAsia="仿宋_GB2312" w:cs="Times New Roman"/>
          <w:color w:val="auto"/>
          <w:spacing w:val="0"/>
          <w:kern w:val="0"/>
          <w:sz w:val="32"/>
          <w:szCs w:val="32"/>
          <w:lang w:eastAsia="zh-CN"/>
        </w:rPr>
        <w:t>，下同</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sz w:val="32"/>
          <w:szCs w:val="32"/>
        </w:rPr>
        <w:t>至少有3名具备5年以上股权投资或基金管理工作经验的高级管理人员</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高级管理人员是指拟服务于</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且在申报单位担任合伙人或副总经理及以上职务或相当职务的管理人员</w:t>
      </w:r>
      <w:r>
        <w:rPr>
          <w:rFonts w:hint="default" w:ascii="Times New Roman" w:hAnsi="Times New Roman" w:eastAsia="仿宋_GB2312" w:cs="Times New Roman"/>
          <w:color w:val="auto"/>
          <w:spacing w:val="0"/>
          <w:kern w:val="0"/>
          <w:sz w:val="32"/>
          <w:szCs w:val="32"/>
          <w:lang w:eastAsia="zh-CN"/>
        </w:rPr>
        <w:t>；</w:t>
      </w:r>
    </w:p>
    <w:p w14:paraId="27454159">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（3）配备的核心成员</w:t>
      </w:r>
      <w:r>
        <w:rPr>
          <w:rFonts w:hint="default" w:ascii="Times New Roman" w:hAnsi="Times New Roman" w:eastAsia="仿宋_GB2312" w:cs="Times New Roman"/>
          <w:color w:val="auto"/>
          <w:spacing w:val="0"/>
          <w:kern w:val="0"/>
          <w:sz w:val="32"/>
          <w:szCs w:val="32"/>
          <w:highlight w:val="none"/>
        </w:rPr>
        <w:t>中应有过良好的合作共事经历。</w:t>
      </w:r>
    </w:p>
    <w:p w14:paraId="56DBF38A">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4.投资管理能力</w:t>
      </w:r>
    </w:p>
    <w:p w14:paraId="24CC34A3">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（1）</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管理机构及配备的核心成员具有较好的投资经验和具有良好投资管理能力</w:t>
      </w:r>
      <w:r>
        <w:rPr>
          <w:rFonts w:hint="default" w:ascii="Times New Roman" w:hAnsi="Times New Roman" w:eastAsia="仿宋_GB2312" w:cs="Times New Roman"/>
          <w:color w:val="auto"/>
          <w:spacing w:val="0"/>
          <w:kern w:val="0"/>
          <w:sz w:val="32"/>
          <w:szCs w:val="32"/>
          <w:lang w:eastAsia="zh-CN"/>
        </w:rPr>
        <w:t>，具备一定的农业投资管理经验，</w:t>
      </w:r>
      <w:r>
        <w:rPr>
          <w:rFonts w:hint="default" w:ascii="Times New Roman" w:hAnsi="Times New Roman" w:eastAsia="仿宋_GB2312" w:cs="Times New Roman"/>
          <w:color w:val="auto"/>
          <w:spacing w:val="0"/>
          <w:kern w:val="0"/>
          <w:sz w:val="32"/>
          <w:szCs w:val="32"/>
          <w:lang w:val="en-US" w:eastAsia="zh-CN"/>
        </w:rPr>
        <w:t>如有云南省内农业投资经验可优先考虑；</w:t>
      </w:r>
    </w:p>
    <w:p w14:paraId="45C2D3FE">
      <w:pPr>
        <w:keepNext w:val="0"/>
        <w:keepLines w:val="0"/>
        <w:pageBreakBefore w:val="0"/>
        <w:widowControl w:val="0"/>
        <w:numPr>
          <w:ilvl w:val="0"/>
          <w:numId w:val="0"/>
        </w:numPr>
        <w:pBdr>
          <w:top w:val="none" w:color="auto" w:sz="0" w:space="0"/>
          <w:bottom w:val="none" w:color="auto" w:sz="0" w:space="0"/>
        </w:pBdr>
        <w:kinsoku/>
        <w:wordWrap/>
        <w:overflowPunct w:val="0"/>
        <w:topLinePunct w:val="0"/>
        <w:bidi w:val="0"/>
        <w:snapToGrid/>
        <w:spacing w:after="0" w:line="570" w:lineRule="exact"/>
        <w:ind w:firstLine="632" w:firstLineChars="200"/>
        <w:jc w:val="both"/>
        <w:textAlignment w:val="baseline"/>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kern w:val="0"/>
          <w:sz w:val="32"/>
          <w:szCs w:val="32"/>
        </w:rPr>
        <w:t>（2）</w:t>
      </w:r>
      <w:r>
        <w:rPr>
          <w:rFonts w:hint="default" w:ascii="Times New Roman" w:hAnsi="Times New Roman" w:eastAsia="仿宋_GB2312" w:cs="Times New Roman"/>
          <w:color w:val="auto"/>
          <w:spacing w:val="0"/>
          <w:sz w:val="32"/>
          <w:szCs w:val="32"/>
          <w:lang w:eastAsia="zh-CN"/>
        </w:rPr>
        <w:t>基金</w:t>
      </w:r>
      <w:r>
        <w:rPr>
          <w:rFonts w:hint="default" w:ascii="Times New Roman" w:hAnsi="Times New Roman" w:eastAsia="仿宋_GB2312" w:cs="Times New Roman"/>
          <w:color w:val="auto"/>
          <w:spacing w:val="0"/>
          <w:sz w:val="32"/>
          <w:szCs w:val="32"/>
        </w:rPr>
        <w:t>管理机构应具有完善的投资管理和风险控制流程，规范的投资决策机制，健全的内部财务管理制度</w:t>
      </w:r>
      <w:r>
        <w:rPr>
          <w:rFonts w:hint="default" w:ascii="Times New Roman" w:hAnsi="Times New Roman" w:eastAsia="仿宋_GB2312" w:cs="Times New Roman"/>
          <w:color w:val="auto"/>
          <w:spacing w:val="0"/>
          <w:sz w:val="32"/>
          <w:szCs w:val="32"/>
          <w:lang w:eastAsia="zh-CN"/>
        </w:rPr>
        <w:t>；</w:t>
      </w:r>
    </w:p>
    <w:p w14:paraId="48167F84">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sz w:val="32"/>
          <w:szCs w:val="32"/>
        </w:rPr>
        <w:t>（3）</w:t>
      </w:r>
      <w:r>
        <w:rPr>
          <w:rFonts w:hint="default" w:ascii="Times New Roman" w:hAnsi="Times New Roman" w:eastAsia="仿宋_GB2312" w:cs="Times New Roman"/>
          <w:color w:val="auto"/>
          <w:spacing w:val="0"/>
          <w:kern w:val="0"/>
          <w:sz w:val="32"/>
          <w:szCs w:val="32"/>
        </w:rPr>
        <w:t>累计实际管理的基金产品不少于3</w:t>
      </w:r>
      <w:r>
        <w:rPr>
          <w:rFonts w:hint="default" w:ascii="Times New Roman" w:hAnsi="Times New Roman" w:eastAsia="仿宋_GB2312" w:cs="Times New Roman"/>
          <w:color w:val="auto"/>
          <w:spacing w:val="0"/>
          <w:kern w:val="0"/>
          <w:sz w:val="32"/>
          <w:szCs w:val="32"/>
          <w:lang w:val="en-US" w:eastAsia="zh-CN"/>
        </w:rPr>
        <w:t>只</w:t>
      </w:r>
      <w:r>
        <w:rPr>
          <w:rFonts w:hint="default" w:ascii="Times New Roman" w:hAnsi="Times New Roman" w:eastAsia="仿宋_GB2312" w:cs="Times New Roman"/>
          <w:color w:val="auto"/>
          <w:spacing w:val="0"/>
          <w:kern w:val="0"/>
          <w:sz w:val="32"/>
          <w:szCs w:val="32"/>
        </w:rPr>
        <w:t>，至少1</w:t>
      </w:r>
      <w:r>
        <w:rPr>
          <w:rFonts w:hint="default" w:ascii="Times New Roman" w:hAnsi="Times New Roman" w:eastAsia="仿宋_GB2312" w:cs="Times New Roman"/>
          <w:color w:val="auto"/>
          <w:spacing w:val="0"/>
          <w:kern w:val="0"/>
          <w:sz w:val="32"/>
          <w:szCs w:val="32"/>
          <w:lang w:val="en-US" w:eastAsia="zh-CN"/>
        </w:rPr>
        <w:t>只</w:t>
      </w:r>
      <w:r>
        <w:rPr>
          <w:rFonts w:hint="default" w:ascii="Times New Roman" w:hAnsi="Times New Roman" w:eastAsia="仿宋_GB2312" w:cs="Times New Roman"/>
          <w:color w:val="auto"/>
          <w:spacing w:val="0"/>
          <w:kern w:val="0"/>
          <w:sz w:val="32"/>
          <w:szCs w:val="32"/>
        </w:rPr>
        <w:t>规模不低于5亿元</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累计</w:t>
      </w:r>
      <w:r>
        <w:rPr>
          <w:rFonts w:hint="default" w:ascii="Times New Roman" w:hAnsi="Times New Roman" w:eastAsia="仿宋_GB2312" w:cs="Times New Roman"/>
          <w:color w:val="auto"/>
          <w:spacing w:val="0"/>
          <w:kern w:val="0"/>
          <w:sz w:val="32"/>
          <w:szCs w:val="32"/>
          <w:lang w:val="en-US" w:eastAsia="zh-CN"/>
        </w:rPr>
        <w:t>实缴管理</w:t>
      </w:r>
      <w:r>
        <w:rPr>
          <w:rFonts w:hint="default" w:ascii="Times New Roman" w:hAnsi="Times New Roman" w:eastAsia="仿宋_GB2312" w:cs="Times New Roman"/>
          <w:color w:val="auto"/>
          <w:spacing w:val="0"/>
          <w:kern w:val="0"/>
          <w:sz w:val="32"/>
          <w:szCs w:val="32"/>
        </w:rPr>
        <w:t>规模不低于10亿元（以提供的中国证券投资基金业协会备案证明材料为准），相互平行基金应合并计算其规模并按1</w:t>
      </w:r>
      <w:r>
        <w:rPr>
          <w:rFonts w:hint="default" w:ascii="Times New Roman" w:hAnsi="Times New Roman" w:eastAsia="仿宋_GB2312" w:cs="Times New Roman"/>
          <w:color w:val="auto"/>
          <w:spacing w:val="0"/>
          <w:kern w:val="0"/>
          <w:sz w:val="32"/>
          <w:szCs w:val="32"/>
          <w:lang w:val="en-US" w:eastAsia="zh-CN"/>
        </w:rPr>
        <w:t>只</w:t>
      </w:r>
      <w:r>
        <w:rPr>
          <w:rFonts w:hint="default" w:ascii="Times New Roman" w:hAnsi="Times New Roman" w:eastAsia="仿宋_GB2312" w:cs="Times New Roman"/>
          <w:color w:val="auto"/>
          <w:spacing w:val="0"/>
          <w:kern w:val="0"/>
          <w:sz w:val="32"/>
          <w:szCs w:val="32"/>
        </w:rPr>
        <w:t>计算其数量。</w:t>
      </w:r>
    </w:p>
    <w:p w14:paraId="4AE837E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5.历史投资业绩</w:t>
      </w:r>
    </w:p>
    <w:p w14:paraId="2FF0B88F">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管理机构或核心成员具有良好的历史业绩：</w:t>
      </w:r>
    </w:p>
    <w:p w14:paraId="6BA872D2">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（1）累计已投资项目（含自有资金投资）中：已退出的项目数量不低于3个</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不同基金主体、不同轮次投资的同一个法律主体视作一个项目</w:t>
      </w:r>
      <w:r>
        <w:rPr>
          <w:rFonts w:hint="default" w:ascii="Times New Roman" w:hAnsi="Times New Roman" w:eastAsia="仿宋_GB2312" w:cs="Times New Roman"/>
          <w:color w:val="auto"/>
          <w:spacing w:val="0"/>
          <w:kern w:val="0"/>
          <w:sz w:val="32"/>
          <w:szCs w:val="32"/>
          <w:lang w:eastAsia="zh-CN"/>
        </w:rPr>
        <w:t>，其中至少有1个案例为农业相关领域；</w:t>
      </w:r>
      <w:r>
        <w:rPr>
          <w:rFonts w:hint="default" w:ascii="Times New Roman" w:hAnsi="Times New Roman" w:eastAsia="仿宋_GB2312" w:cs="Times New Roman"/>
          <w:color w:val="auto"/>
          <w:spacing w:val="0"/>
          <w:kern w:val="0"/>
          <w:sz w:val="32"/>
          <w:szCs w:val="32"/>
        </w:rPr>
        <w:t>项目退出方式包括IPO、并购、清算、股权转让（管理机构、核心成员及关联基金间的</w:t>
      </w:r>
      <w:r>
        <w:rPr>
          <w:rFonts w:hint="default" w:ascii="Times New Roman" w:hAnsi="Times New Roman" w:eastAsia="仿宋_GB2312" w:cs="Times New Roman"/>
          <w:color w:val="auto"/>
          <w:spacing w:val="0"/>
          <w:kern w:val="0"/>
          <w:sz w:val="32"/>
          <w:szCs w:val="32"/>
          <w:lang w:val="en-US" w:eastAsia="zh-CN"/>
        </w:rPr>
        <w:t>股</w:t>
      </w:r>
      <w:r>
        <w:rPr>
          <w:rFonts w:hint="default" w:ascii="Times New Roman" w:hAnsi="Times New Roman" w:eastAsia="仿宋_GB2312" w:cs="Times New Roman"/>
          <w:color w:val="auto"/>
          <w:spacing w:val="0"/>
          <w:kern w:val="0"/>
          <w:sz w:val="32"/>
          <w:szCs w:val="32"/>
        </w:rPr>
        <w:t>权转让除外）</w:t>
      </w:r>
      <w:r>
        <w:rPr>
          <w:rFonts w:hint="default" w:ascii="Times New Roman" w:hAnsi="Times New Roman" w:eastAsia="仿宋_GB2312" w:cs="Times New Roman"/>
          <w:color w:val="auto"/>
          <w:spacing w:val="0"/>
          <w:kern w:val="0"/>
          <w:sz w:val="32"/>
          <w:szCs w:val="32"/>
          <w:lang w:eastAsia="zh-CN"/>
        </w:rPr>
        <w:t>；</w:t>
      </w:r>
    </w:p>
    <w:p w14:paraId="1305DD5D">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（2）以上核心成员的历史业绩确保真实可核查，核心成员应在相关基金曾担任关键人士或委派代表，或在申报单位及相关基金的管理</w:t>
      </w:r>
      <w:r>
        <w:rPr>
          <w:rFonts w:hint="default" w:ascii="Times New Roman" w:hAnsi="Times New Roman" w:eastAsia="仿宋_GB2312" w:cs="Times New Roman"/>
          <w:color w:val="auto"/>
          <w:spacing w:val="0"/>
          <w:kern w:val="0"/>
          <w:sz w:val="32"/>
          <w:szCs w:val="32"/>
          <w:lang w:val="en-US" w:eastAsia="zh-CN"/>
        </w:rPr>
        <w:t>机构</w:t>
      </w:r>
      <w:r>
        <w:rPr>
          <w:rFonts w:hint="default" w:ascii="Times New Roman" w:hAnsi="Times New Roman" w:eastAsia="仿宋_GB2312" w:cs="Times New Roman"/>
          <w:color w:val="auto"/>
          <w:spacing w:val="0"/>
          <w:kern w:val="0"/>
          <w:sz w:val="32"/>
          <w:szCs w:val="32"/>
        </w:rPr>
        <w:t>中担任负责投资业务的高级管理人员</w:t>
      </w:r>
      <w:r>
        <w:rPr>
          <w:rFonts w:hint="default" w:ascii="Times New Roman" w:hAnsi="Times New Roman" w:eastAsia="仿宋_GB2312" w:cs="Times New Roman"/>
          <w:color w:val="auto"/>
          <w:spacing w:val="0"/>
          <w:kern w:val="0"/>
          <w:sz w:val="32"/>
          <w:szCs w:val="32"/>
          <w:lang w:eastAsia="zh-CN"/>
        </w:rPr>
        <w:t>。</w:t>
      </w:r>
    </w:p>
    <w:p w14:paraId="78BB4E58">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6.</w:t>
      </w:r>
      <w:r>
        <w:rPr>
          <w:rFonts w:hint="default" w:ascii="Times New Roman" w:hAnsi="Times New Roman" w:eastAsia="仿宋_GB2312" w:cs="Times New Roman"/>
          <w:bCs/>
          <w:color w:val="auto"/>
          <w:spacing w:val="0"/>
          <w:kern w:val="0"/>
          <w:sz w:val="32"/>
          <w:szCs w:val="32"/>
          <w:lang w:eastAsia="zh-CN"/>
        </w:rPr>
        <w:t>基金</w:t>
      </w:r>
      <w:r>
        <w:rPr>
          <w:rFonts w:hint="default" w:ascii="Times New Roman" w:hAnsi="Times New Roman" w:eastAsia="仿宋_GB2312" w:cs="Times New Roman"/>
          <w:bCs/>
          <w:color w:val="auto"/>
          <w:spacing w:val="0"/>
          <w:kern w:val="0"/>
          <w:sz w:val="32"/>
          <w:szCs w:val="32"/>
        </w:rPr>
        <w:t>方案契合度</w:t>
      </w:r>
    </w:p>
    <w:p w14:paraId="5BD6E0A1">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出资比例、投决机制、投资方向、投资领域、管理费及门槛收益率、收益分配等方面的计划和策略合理可行</w:t>
      </w:r>
      <w:r>
        <w:rPr>
          <w:rFonts w:hint="default" w:ascii="Times New Roman" w:hAnsi="Times New Roman" w:eastAsia="仿宋_GB2312" w:cs="Times New Roman"/>
          <w:color w:val="auto"/>
          <w:spacing w:val="0"/>
          <w:kern w:val="0"/>
          <w:sz w:val="32"/>
          <w:szCs w:val="32"/>
          <w:lang w:eastAsia="zh-CN"/>
        </w:rPr>
        <w:t>，符合</w:t>
      </w:r>
      <w:r>
        <w:rPr>
          <w:rFonts w:hint="default" w:ascii="Times New Roman" w:hAnsi="Times New Roman" w:eastAsia="仿宋_GB2312" w:cs="Times New Roman"/>
          <w:color w:val="auto"/>
          <w:spacing w:val="0"/>
          <w:kern w:val="0"/>
          <w:sz w:val="32"/>
          <w:szCs w:val="32"/>
          <w:highlight w:val="none"/>
          <w:lang w:eastAsia="zh-CN"/>
        </w:rPr>
        <w:t>基金</w:t>
      </w:r>
      <w:r>
        <w:rPr>
          <w:rFonts w:hint="default" w:ascii="Times New Roman" w:hAnsi="Times New Roman" w:eastAsia="仿宋_GB2312" w:cs="Times New Roman"/>
          <w:color w:val="auto"/>
          <w:spacing w:val="0"/>
          <w:kern w:val="0"/>
          <w:sz w:val="32"/>
          <w:szCs w:val="32"/>
          <w:highlight w:val="none"/>
        </w:rPr>
        <w:t>方案</w:t>
      </w:r>
      <w:r>
        <w:rPr>
          <w:rFonts w:hint="default" w:ascii="Times New Roman" w:hAnsi="Times New Roman" w:eastAsia="仿宋_GB2312" w:cs="Times New Roman"/>
          <w:color w:val="auto"/>
          <w:spacing w:val="0"/>
          <w:kern w:val="0"/>
          <w:sz w:val="32"/>
          <w:szCs w:val="32"/>
        </w:rPr>
        <w:t>有关要求</w:t>
      </w:r>
      <w:r>
        <w:rPr>
          <w:rFonts w:hint="default" w:ascii="Times New Roman" w:hAnsi="Times New Roman" w:eastAsia="仿宋_GB2312" w:cs="Times New Roman"/>
          <w:color w:val="auto"/>
          <w:spacing w:val="0"/>
          <w:kern w:val="0"/>
          <w:sz w:val="32"/>
          <w:szCs w:val="32"/>
          <w:lang w:eastAsia="zh-CN"/>
        </w:rPr>
        <w:t>。</w:t>
      </w:r>
    </w:p>
    <w:p w14:paraId="5F613B31">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lang w:val="en-US" w:eastAsia="zh-CN"/>
        </w:rPr>
      </w:pPr>
      <w:r>
        <w:rPr>
          <w:rFonts w:hint="default" w:ascii="Times New Roman" w:hAnsi="Times New Roman" w:eastAsia="仿宋_GB2312" w:cs="Times New Roman"/>
          <w:bCs/>
          <w:color w:val="auto"/>
          <w:spacing w:val="0"/>
          <w:kern w:val="0"/>
          <w:sz w:val="32"/>
          <w:szCs w:val="32"/>
          <w:lang w:val="en-US" w:eastAsia="zh-CN"/>
        </w:rPr>
        <w:t>7.募资能力</w:t>
      </w:r>
    </w:p>
    <w:p w14:paraId="5E1391FC">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管理机构应具有相应的资金募集能力，鼓励吸引更多社会资本。向合格投资者募集资金</w:t>
      </w:r>
      <w:r>
        <w:rPr>
          <w:rFonts w:hint="default" w:ascii="Times New Roman" w:hAnsi="Times New Roman" w:eastAsia="仿宋_GB2312" w:cs="Times New Roman"/>
          <w:color w:val="auto"/>
          <w:spacing w:val="0"/>
          <w:kern w:val="0"/>
          <w:sz w:val="32"/>
          <w:szCs w:val="32"/>
          <w:lang w:val="en-US" w:eastAsia="zh-CN"/>
        </w:rPr>
        <w:t>的</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val="en-US" w:eastAsia="zh-CN"/>
        </w:rPr>
        <w:t>应</w:t>
      </w:r>
      <w:r>
        <w:rPr>
          <w:rFonts w:hint="default" w:ascii="Times New Roman" w:hAnsi="Times New Roman" w:eastAsia="仿宋_GB2312" w:cs="Times New Roman"/>
          <w:color w:val="auto"/>
          <w:spacing w:val="0"/>
          <w:kern w:val="0"/>
          <w:sz w:val="32"/>
          <w:szCs w:val="32"/>
        </w:rPr>
        <w:t>提供本次拟设</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募资相关材料，包括但不限于基金方案、出资意向函等证明。</w:t>
      </w:r>
    </w:p>
    <w:p w14:paraId="117B6D14">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textAlignment w:val="auto"/>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8.</w:t>
      </w:r>
      <w:r>
        <w:rPr>
          <w:rFonts w:hint="default" w:ascii="Times New Roman" w:hAnsi="Times New Roman" w:eastAsia="仿宋_GB2312" w:cs="Times New Roman"/>
          <w:bCs/>
          <w:color w:val="auto"/>
          <w:spacing w:val="0"/>
          <w:kern w:val="0"/>
          <w:sz w:val="32"/>
          <w:szCs w:val="32"/>
        </w:rPr>
        <w:t>投后服务能力</w:t>
      </w:r>
    </w:p>
    <w:p w14:paraId="52C0EDE3">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具备较深厚的综合服务能力和资源，能够较好地为被投企业提供</w:t>
      </w:r>
      <w:r>
        <w:rPr>
          <w:rFonts w:hint="default" w:ascii="Times New Roman" w:hAnsi="Times New Roman" w:eastAsia="仿宋_GB2312" w:cs="Times New Roman"/>
          <w:color w:val="auto"/>
          <w:spacing w:val="0"/>
          <w:kern w:val="0"/>
          <w:sz w:val="32"/>
          <w:szCs w:val="32"/>
          <w:lang w:val="en-US" w:eastAsia="zh-CN"/>
        </w:rPr>
        <w:t>创业辅导、</w:t>
      </w:r>
      <w:r>
        <w:rPr>
          <w:rFonts w:hint="default" w:ascii="Times New Roman" w:hAnsi="Times New Roman" w:eastAsia="仿宋_GB2312" w:cs="Times New Roman"/>
          <w:color w:val="auto"/>
          <w:spacing w:val="0"/>
          <w:sz w:val="32"/>
          <w:szCs w:val="32"/>
        </w:rPr>
        <w:t>企业管理咨询、合规建议、产业链整合、市场开拓等增值服务。</w:t>
      </w:r>
    </w:p>
    <w:p w14:paraId="3A088F9F">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9.</w:t>
      </w:r>
      <w:r>
        <w:rPr>
          <w:rFonts w:hint="default" w:ascii="Times New Roman" w:hAnsi="Times New Roman" w:eastAsia="仿宋_GB2312" w:cs="Times New Roman"/>
          <w:bCs/>
          <w:color w:val="auto"/>
          <w:spacing w:val="0"/>
          <w:kern w:val="0"/>
          <w:sz w:val="32"/>
          <w:szCs w:val="32"/>
        </w:rPr>
        <w:t>风险管理能力</w:t>
      </w:r>
    </w:p>
    <w:p w14:paraId="0398BAE2">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具有较丰富的风险评价、预防和处置能力，具有较高的风险管控专业化水平，有效防范基金运营风险。</w:t>
      </w:r>
    </w:p>
    <w:p w14:paraId="61921FA2">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10.</w:t>
      </w:r>
      <w:r>
        <w:rPr>
          <w:rFonts w:hint="default" w:ascii="Times New Roman" w:hAnsi="Times New Roman" w:eastAsia="仿宋_GB2312" w:cs="Times New Roman"/>
          <w:bCs/>
          <w:color w:val="auto"/>
          <w:spacing w:val="0"/>
          <w:kern w:val="0"/>
          <w:sz w:val="32"/>
          <w:szCs w:val="32"/>
        </w:rPr>
        <w:t>项目储备</w:t>
      </w:r>
    </w:p>
    <w:p w14:paraId="225367D6">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拥有较强的行业研究能力，拥有丰富的优质产业项目储备资源。</w:t>
      </w:r>
    </w:p>
    <w:p w14:paraId="3A772F73">
      <w:pPr>
        <w:keepNext w:val="0"/>
        <w:keepLines w:val="0"/>
        <w:pageBreakBefore w:val="0"/>
        <w:widowControl w:val="0"/>
        <w:numPr>
          <w:ilvl w:val="0"/>
          <w:numId w:val="0"/>
        </w:numPr>
        <w:pBdr>
          <w:top w:val="none" w:color="auto" w:sz="0" w:space="0"/>
          <w:bottom w:val="none" w:color="auto" w:sz="0" w:space="0"/>
        </w:pBdr>
        <w:tabs>
          <w:tab w:val="left" w:pos="312"/>
        </w:tabs>
        <w:kinsoku/>
        <w:wordWrap/>
        <w:overflowPunct w:val="0"/>
        <w:topLinePunct w:val="0"/>
        <w:bidi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11.本地化服务能力</w:t>
      </w:r>
    </w:p>
    <w:p w14:paraId="72BA53B7">
      <w:pPr>
        <w:keepNext w:val="0"/>
        <w:keepLines w:val="0"/>
        <w:pageBreakBefore w:val="0"/>
        <w:widowControl w:val="0"/>
        <w:numPr>
          <w:ilvl w:val="0"/>
          <w:numId w:val="0"/>
        </w:numPr>
        <w:pBdr>
          <w:top w:val="none" w:color="auto" w:sz="0" w:space="0"/>
          <w:bottom w:val="none" w:color="auto" w:sz="0" w:space="0"/>
        </w:pBdr>
        <w:kinsoku/>
        <w:wordWrap/>
        <w:overflowPunct w:val="0"/>
        <w:topLinePunct w:val="0"/>
        <w:bidi w:val="0"/>
        <w:snapToGrid/>
        <w:spacing w:after="0" w:line="570" w:lineRule="exact"/>
        <w:ind w:firstLine="632"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w:t>
      </w:r>
      <w:r>
        <w:rPr>
          <w:rFonts w:hint="default" w:ascii="Times New Roman" w:hAnsi="Times New Roman" w:eastAsia="仿宋_GB2312" w:cs="Times New Roman"/>
          <w:color w:val="auto"/>
          <w:spacing w:val="0"/>
          <w:kern w:val="0"/>
          <w:sz w:val="32"/>
          <w:szCs w:val="32"/>
          <w:lang w:val="en-US" w:eastAsia="zh-CN"/>
        </w:rPr>
        <w:t>应承诺</w:t>
      </w:r>
      <w:r>
        <w:rPr>
          <w:rFonts w:hint="default" w:ascii="Times New Roman" w:hAnsi="Times New Roman" w:eastAsia="仿宋_GB2312" w:cs="Times New Roman"/>
          <w:i w:val="0"/>
          <w:iCs w:val="0"/>
          <w:caps w:val="0"/>
          <w:color w:val="auto"/>
          <w:spacing w:val="0"/>
          <w:kern w:val="0"/>
          <w:sz w:val="32"/>
          <w:szCs w:val="32"/>
          <w:shd w:val="clear" w:color="auto" w:fill="auto"/>
          <w:lang w:val="en-US" w:eastAsia="zh-CN"/>
        </w:rPr>
        <w:t>团队成员对云南本地经济和产业情况具备较好的投入程度和专注程度，</w:t>
      </w:r>
      <w:r>
        <w:rPr>
          <w:rFonts w:hint="default" w:ascii="Times New Roman" w:hAnsi="Times New Roman" w:eastAsia="仿宋_GB2312" w:cs="Times New Roman"/>
          <w:i w:val="0"/>
          <w:iCs w:val="0"/>
          <w:caps w:val="0"/>
          <w:color w:val="auto"/>
          <w:spacing w:val="0"/>
          <w:kern w:val="0"/>
          <w:sz w:val="32"/>
          <w:szCs w:val="32"/>
          <w:shd w:val="clear" w:color="auto" w:fill="auto"/>
        </w:rPr>
        <w:t>以保证基金运作的</w:t>
      </w:r>
      <w:r>
        <w:rPr>
          <w:rFonts w:hint="default" w:ascii="Times New Roman" w:hAnsi="Times New Roman" w:eastAsia="仿宋_GB2312" w:cs="Times New Roman"/>
          <w:i w:val="0"/>
          <w:iCs w:val="0"/>
          <w:caps w:val="0"/>
          <w:color w:val="auto"/>
          <w:spacing w:val="0"/>
          <w:kern w:val="0"/>
          <w:sz w:val="32"/>
          <w:szCs w:val="32"/>
          <w:highlight w:val="none"/>
          <w:shd w:val="clear" w:color="auto" w:fill="auto"/>
        </w:rPr>
        <w:t>实体化</w:t>
      </w:r>
      <w:r>
        <w:rPr>
          <w:rFonts w:hint="default" w:ascii="Times New Roman" w:hAnsi="Times New Roman" w:eastAsia="仿宋_GB2312" w:cs="Times New Roman"/>
          <w:i w:val="0"/>
          <w:iCs w:val="0"/>
          <w:caps w:val="0"/>
          <w:color w:val="auto"/>
          <w:spacing w:val="0"/>
          <w:kern w:val="0"/>
          <w:sz w:val="32"/>
          <w:szCs w:val="32"/>
          <w:shd w:val="clear" w:color="auto" w:fill="auto"/>
        </w:rPr>
        <w:t>和本地项目发掘</w:t>
      </w:r>
      <w:r>
        <w:rPr>
          <w:rFonts w:hint="default" w:ascii="Times New Roman" w:hAnsi="Times New Roman" w:eastAsia="仿宋_GB2312" w:cs="Times New Roman"/>
          <w:i w:val="0"/>
          <w:iCs w:val="0"/>
          <w:caps w:val="0"/>
          <w:color w:val="auto"/>
          <w:spacing w:val="0"/>
          <w:kern w:val="0"/>
          <w:sz w:val="32"/>
          <w:szCs w:val="32"/>
          <w:shd w:val="clear" w:color="auto" w:fill="auto"/>
          <w:lang w:val="en-US" w:eastAsia="zh-CN"/>
        </w:rPr>
        <w:t>能力</w:t>
      </w:r>
      <w:r>
        <w:rPr>
          <w:rFonts w:hint="default" w:ascii="Times New Roman" w:hAnsi="Times New Roman" w:eastAsia="仿宋_GB2312" w:cs="Times New Roman"/>
          <w:i w:val="0"/>
          <w:iCs w:val="0"/>
          <w:caps w:val="0"/>
          <w:color w:val="auto"/>
          <w:spacing w:val="0"/>
          <w:kern w:val="0"/>
          <w:sz w:val="32"/>
          <w:szCs w:val="32"/>
          <w:shd w:val="clear" w:color="auto" w:fill="auto"/>
          <w:lang w:eastAsia="zh-CN"/>
        </w:rPr>
        <w:t>。</w:t>
      </w:r>
    </w:p>
    <w:p w14:paraId="54CB4181">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（二）申报资料编制及报送要求</w:t>
      </w:r>
    </w:p>
    <w:p w14:paraId="6A4D5190">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autoSpaceDN/>
        <w:bidi w:val="0"/>
        <w:adjustRightInd/>
        <w:snapToGrid/>
        <w:spacing w:line="570" w:lineRule="exact"/>
        <w:ind w:firstLine="632" w:firstLineChars="200"/>
        <w:jc w:val="both"/>
        <w:textAlignment w:val="auto"/>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val="en-US" w:eastAsia="zh-CN"/>
        </w:rPr>
        <w:t>1.申报材料须分为纸质材料和电子材料。纸质材料：根据公告附件要求分别列出目录及对应页码并规范打印装订成册。电子材料（以U盘存储），应包含：（1）全部纸质材料扫描件（PDF文档）；（2）可编辑文档，全部以WPS、WORD、EXCEL等格式制作。电子材料和纸质材料须保持一致。所有申报数据应保证真实、全面、准确，不得虚报、漏报、选择性填报。</w:t>
      </w:r>
    </w:p>
    <w:p w14:paraId="61BE2B90">
      <w:pPr>
        <w:widowControl w:val="0"/>
        <w:spacing w:line="570" w:lineRule="exact"/>
        <w:ind w:firstLine="630"/>
        <w:jc w:val="both"/>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2.申报材料中各类数据截止至申报日最近一期的季度末数据。</w:t>
      </w:r>
    </w:p>
    <w:p w14:paraId="01004526">
      <w:pPr>
        <w:widowControl w:val="0"/>
        <w:spacing w:line="570" w:lineRule="exact"/>
        <w:ind w:firstLine="630"/>
        <w:jc w:val="both"/>
        <w:rPr>
          <w:rFonts w:hint="default" w:ascii="Times New Roman" w:hAnsi="Times New Roman" w:eastAsia="仿宋_GB2312" w:cs="Times New Roman"/>
          <w:spacing w:val="0"/>
          <w:kern w:val="0"/>
          <w:sz w:val="32"/>
          <w:szCs w:val="32"/>
          <w:lang w:val="en-US" w:eastAsia="zh-CN" w:bidi="ar-SA"/>
        </w:rPr>
      </w:pPr>
      <w:r>
        <w:rPr>
          <w:rFonts w:hint="default" w:ascii="Times New Roman" w:hAnsi="Times New Roman" w:eastAsia="仿宋_GB2312" w:cs="Times New Roman"/>
          <w:spacing w:val="0"/>
          <w:kern w:val="0"/>
          <w:sz w:val="32"/>
          <w:szCs w:val="32"/>
          <w:lang w:val="en-US" w:eastAsia="zh-CN" w:bidi="ar-SA"/>
        </w:rPr>
        <w:t>3.全套纸质的申报材料须左侧胶装，并加盖骑章，封面由法定代表人（或委托授权人）签字并加盖单位公章，外包装上须注明</w:t>
      </w:r>
      <w:r>
        <w:rPr>
          <w:rFonts w:hint="eastAsia" w:ascii="仿宋_GB2312" w:hAnsi="仿宋_GB2312" w:eastAsia="仿宋_GB2312" w:cs="仿宋_GB2312"/>
          <w:spacing w:val="0"/>
          <w:kern w:val="0"/>
          <w:sz w:val="32"/>
          <w:szCs w:val="32"/>
          <w:lang w:val="en-US" w:eastAsia="zh-CN" w:bidi="ar-SA"/>
        </w:rPr>
        <w:t>“不准提前启封”</w:t>
      </w:r>
      <w:r>
        <w:rPr>
          <w:rFonts w:hint="default" w:ascii="Times New Roman" w:hAnsi="Times New Roman" w:eastAsia="仿宋_GB2312" w:cs="Times New Roman"/>
          <w:spacing w:val="0"/>
          <w:kern w:val="0"/>
          <w:sz w:val="32"/>
          <w:szCs w:val="32"/>
          <w:lang w:val="en-US" w:eastAsia="zh-CN" w:bidi="ar-SA"/>
        </w:rPr>
        <w:t>字样。</w:t>
      </w:r>
    </w:p>
    <w:p w14:paraId="1D1F932E">
      <w:pPr>
        <w:widowControl w:val="0"/>
        <w:spacing w:line="570" w:lineRule="exact"/>
        <w:ind w:firstLine="630"/>
        <w:jc w:val="both"/>
        <w:rPr>
          <w:rFonts w:hint="default" w:ascii="Times New Roman" w:hAnsi="Times New Roman" w:eastAsia="仿宋_GB2312" w:cs="Times New Roman"/>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4.申报单位须将申报材料（纸质材料一式2份，电子</w:t>
      </w:r>
      <w:r>
        <w:rPr>
          <w:rFonts w:hint="default" w:ascii="Times New Roman" w:hAnsi="Times New Roman" w:eastAsia="仿宋_GB2312" w:cs="Times New Roman"/>
          <w:spacing w:val="0"/>
          <w:kern w:val="0"/>
          <w:sz w:val="32"/>
          <w:szCs w:val="32"/>
          <w:lang w:val="en-US" w:eastAsia="zh-CN" w:bidi="ar-SA"/>
        </w:rPr>
        <w:t>材料1份）邮寄至云南省昆明市西山区人民西路277号云投财富商业广场B1栋云南金控集团。</w:t>
      </w:r>
      <w:r>
        <w:rPr>
          <w:rFonts w:hint="eastAsia" w:eastAsia="仿宋_GB2312" w:cs="Times New Roman"/>
          <w:spacing w:val="0"/>
          <w:kern w:val="0"/>
          <w:sz w:val="32"/>
          <w:szCs w:val="32"/>
          <w:lang w:val="en-US" w:eastAsia="zh-CN" w:bidi="ar-SA"/>
        </w:rPr>
        <w:t>对</w:t>
      </w:r>
      <w:r>
        <w:rPr>
          <w:rFonts w:hint="default" w:ascii="Times New Roman" w:hAnsi="Times New Roman" w:eastAsia="仿宋_GB2312" w:cs="Times New Roman"/>
          <w:spacing w:val="0"/>
          <w:kern w:val="0"/>
          <w:sz w:val="32"/>
          <w:szCs w:val="32"/>
          <w:lang w:val="en-US" w:eastAsia="zh-CN" w:bidi="ar-SA"/>
        </w:rPr>
        <w:t>未按规定格式、数量和形式递交申报材料的均不予受理。</w:t>
      </w:r>
    </w:p>
    <w:p w14:paraId="1AB28F40">
      <w:pPr>
        <w:widowControl w:val="0"/>
        <w:spacing w:line="570" w:lineRule="exact"/>
        <w:ind w:firstLine="630"/>
        <w:jc w:val="both"/>
        <w:rPr>
          <w:rFonts w:hint="default" w:ascii="Times New Roman" w:hAnsi="Times New Roman" w:eastAsia="仿宋_GB2312" w:cs="Times New Roman"/>
          <w:spacing w:val="0"/>
          <w:kern w:val="0"/>
          <w:sz w:val="32"/>
          <w:szCs w:val="32"/>
          <w:lang w:val="en-US" w:eastAsia="zh-CN" w:bidi="ar-SA"/>
        </w:rPr>
      </w:pPr>
      <w:r>
        <w:rPr>
          <w:rFonts w:hint="eastAsia" w:eastAsia="仿宋_GB2312" w:cs="Times New Roman"/>
          <w:spacing w:val="0"/>
          <w:kern w:val="0"/>
          <w:sz w:val="32"/>
          <w:szCs w:val="32"/>
          <w:lang w:val="en-US" w:eastAsia="zh-CN" w:bidi="ar-SA"/>
        </w:rPr>
        <w:t>5.省农业基金有权就申报材料情况向申报单位做进一步核实确认并要求补充相关材料。如申报单位所提交的申报材料与实际情况存在较大偏离度将不予受理。</w:t>
      </w:r>
    </w:p>
    <w:p w14:paraId="71EAE9E4">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（三）特别规定</w:t>
      </w:r>
    </w:p>
    <w:p w14:paraId="44DE7066">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1.为了保证遴选的公正性，单位负责人为同一人或者存在控股关系的不同单位，不得同时参与遴选。</w:t>
      </w:r>
    </w:p>
    <w:p w14:paraId="643F1F75">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2.采用失信被执行人否决性惩戒方式，参与遴选的机构及其配备的核心成员不得为失信被执行人（以</w:t>
      </w:r>
      <w:r>
        <w:rPr>
          <w:rFonts w:hint="eastAsia" w:ascii="仿宋_GB2312" w:hAnsi="仿宋_GB2312" w:eastAsia="仿宋_GB2312" w:cs="仿宋_GB2312"/>
          <w:spacing w:val="0"/>
          <w:kern w:val="0"/>
          <w:sz w:val="32"/>
          <w:szCs w:val="20"/>
          <w:lang w:val="en-US" w:eastAsia="zh-CN" w:bidi="ar-SA"/>
        </w:rPr>
        <w:t>“信用中国”</w:t>
      </w:r>
      <w:r>
        <w:rPr>
          <w:rFonts w:hint="default" w:ascii="Times New Roman" w:hAnsi="Times New Roman" w:eastAsia="仿宋_GB2312" w:cs="Times New Roman"/>
          <w:spacing w:val="0"/>
          <w:kern w:val="0"/>
          <w:sz w:val="32"/>
          <w:szCs w:val="20"/>
          <w:lang w:val="en-US" w:eastAsia="zh-CN" w:bidi="ar-SA"/>
        </w:rPr>
        <w:t>网站查询结果为准）。</w:t>
      </w:r>
    </w:p>
    <w:p w14:paraId="1BA55CB8">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3.原则上对存在重大负面舆情、与省农业基金配合度较差的机构不接受参与遴选。</w:t>
      </w:r>
    </w:p>
    <w:p w14:paraId="2931F788">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四、对中选机构的管理要求</w:t>
      </w:r>
    </w:p>
    <w:p w14:paraId="60527B17">
      <w:pPr>
        <w:spacing w:line="570" w:lineRule="exact"/>
        <w:ind w:firstLine="632"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（一）中选的管理机构应明确以往管理基金与本次申报子基金关系的处理原则，应隔离多只基金之间关联交易的风险，对潜在的在管基金与拟设子基金间的利益冲突做出合理安排。</w:t>
      </w:r>
    </w:p>
    <w:p w14:paraId="5CC07D5C">
      <w:pPr>
        <w:widowControl w:val="0"/>
        <w:spacing w:line="570" w:lineRule="exact"/>
        <w:ind w:firstLine="629"/>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（二）中选的管理机构应建立与省农业基金的协调联动机制，服从省农业基金的管理要求，在子基金投资期内应保证委派代表、关键人士、投委会成员、专职高管等人员的稳定性及专业性。</w:t>
      </w:r>
    </w:p>
    <w:p w14:paraId="3F3AE64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（三）中选的管理机构应建立科学有效的激励约束机制，优化投委会席位设置及议事规则，确保子基金投资决策的效率、专业性及独立性。</w:t>
      </w:r>
    </w:p>
    <w:p w14:paraId="2F42A88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（四）中选的管理机构须积极配合省农业基金履行职责，包括：对子基金运行情况进行监督检查和绩效评价及其结果应用，支持相关政策研究及产业研究，委派观察员列席子基金投资决策委员会会议等。</w:t>
      </w:r>
    </w:p>
    <w:p w14:paraId="01A486E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w:t>
      </w:r>
      <w:r>
        <w:rPr>
          <w:rFonts w:hint="eastAsia" w:eastAsia="仿宋_GB2312" w:cs="Times New Roman"/>
          <w:spacing w:val="0"/>
          <w:kern w:val="0"/>
          <w:sz w:val="32"/>
          <w:szCs w:val="20"/>
          <w:lang w:val="en-US" w:eastAsia="zh-CN" w:bidi="ar-SA"/>
        </w:rPr>
        <w:t>五</w:t>
      </w:r>
      <w:r>
        <w:rPr>
          <w:rFonts w:hint="default" w:ascii="Times New Roman" w:hAnsi="Times New Roman" w:eastAsia="仿宋_GB2312" w:cs="Times New Roman"/>
          <w:spacing w:val="0"/>
          <w:kern w:val="0"/>
          <w:sz w:val="32"/>
          <w:szCs w:val="20"/>
          <w:lang w:val="en-US" w:eastAsia="zh-CN" w:bidi="ar-SA"/>
        </w:rPr>
        <w:t>）中选的管理机构应实质对子基金进行管理，不</w:t>
      </w:r>
      <w:r>
        <w:rPr>
          <w:rFonts w:hint="default" w:ascii="Times New Roman" w:hAnsi="Times New Roman" w:eastAsia="仿宋_GB2312" w:cs="Times New Roman"/>
          <w:spacing w:val="0"/>
          <w:kern w:val="0"/>
          <w:sz w:val="32"/>
          <w:szCs w:val="20"/>
        </w:rPr>
        <w:t>得将资金募集、投资管理等职责委托他人行使，变相开展多管理人或者通道业务。</w:t>
      </w:r>
    </w:p>
    <w:p w14:paraId="7D4B9C7A">
      <w:pPr>
        <w:spacing w:line="570" w:lineRule="exact"/>
        <w:ind w:firstLine="632"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w:t>
      </w:r>
      <w:r>
        <w:rPr>
          <w:rFonts w:hint="eastAsia" w:eastAsia="仿宋_GB2312" w:cs="Times New Roman"/>
          <w:spacing w:val="0"/>
          <w:kern w:val="0"/>
          <w:sz w:val="32"/>
          <w:szCs w:val="20"/>
          <w:lang w:val="en-US" w:eastAsia="zh-CN" w:bidi="ar-SA"/>
        </w:rPr>
        <w:t>六</w:t>
      </w:r>
      <w:r>
        <w:rPr>
          <w:rFonts w:hint="default" w:ascii="Times New Roman" w:hAnsi="Times New Roman" w:eastAsia="仿宋_GB2312" w:cs="Times New Roman"/>
          <w:spacing w:val="0"/>
          <w:kern w:val="0"/>
          <w:sz w:val="32"/>
          <w:szCs w:val="20"/>
          <w:lang w:val="en-US" w:eastAsia="zh-CN" w:bidi="ar-SA"/>
        </w:rPr>
        <w:t>）省农业基金有权跟随子基金同一轮次投资优质股权项目：子基金管理机构不得排除或妨碍省农业基金跟投特定项目的权利，并保证一定的投成率。</w:t>
      </w:r>
    </w:p>
    <w:p w14:paraId="4F61815D">
      <w:pPr>
        <w:spacing w:line="570" w:lineRule="exact"/>
        <w:ind w:firstLine="632"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w:t>
      </w:r>
      <w:r>
        <w:rPr>
          <w:rFonts w:hint="eastAsia" w:eastAsia="仿宋_GB2312" w:cs="Times New Roman"/>
          <w:spacing w:val="0"/>
          <w:kern w:val="0"/>
          <w:sz w:val="32"/>
          <w:szCs w:val="20"/>
          <w:lang w:val="en-US" w:eastAsia="zh-CN" w:bidi="ar-SA"/>
        </w:rPr>
        <w:t>七</w:t>
      </w:r>
      <w:r>
        <w:rPr>
          <w:rFonts w:hint="default" w:ascii="Times New Roman" w:hAnsi="Times New Roman" w:eastAsia="仿宋_GB2312" w:cs="Times New Roman"/>
          <w:spacing w:val="0"/>
          <w:kern w:val="0"/>
          <w:sz w:val="32"/>
          <w:szCs w:val="20"/>
          <w:lang w:val="en-US" w:eastAsia="zh-CN" w:bidi="ar-SA"/>
        </w:rPr>
        <w:t>）子基金应按省农业基金要求的形式与内容及时报送财务数据和运营报告。</w:t>
      </w:r>
    </w:p>
    <w:p w14:paraId="19C538C3">
      <w:pPr>
        <w:spacing w:line="570" w:lineRule="exact"/>
        <w:ind w:firstLine="632"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w:t>
      </w:r>
      <w:r>
        <w:rPr>
          <w:rFonts w:hint="eastAsia" w:eastAsia="仿宋_GB2312" w:cs="Times New Roman"/>
          <w:spacing w:val="0"/>
          <w:kern w:val="0"/>
          <w:sz w:val="32"/>
          <w:szCs w:val="20"/>
          <w:lang w:val="en-US" w:eastAsia="zh-CN" w:bidi="ar-SA"/>
        </w:rPr>
        <w:t>八</w:t>
      </w:r>
      <w:r>
        <w:rPr>
          <w:rFonts w:hint="default" w:ascii="Times New Roman" w:hAnsi="Times New Roman" w:eastAsia="仿宋_GB2312" w:cs="Times New Roman"/>
          <w:spacing w:val="0"/>
          <w:kern w:val="0"/>
          <w:sz w:val="32"/>
          <w:szCs w:val="20"/>
          <w:lang w:val="en-US" w:eastAsia="zh-CN" w:bidi="ar-SA"/>
        </w:rPr>
        <w:t>）子基金在后续运作过程中因其他投资人合伙份额的退伙、转让合伙份额等变更导致省农业基金出资超过约定的认缴比例的，省农业基金有权及时调整出资额。</w:t>
      </w:r>
    </w:p>
    <w:p w14:paraId="633D5243">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五、特殊情况下的退出安排</w:t>
      </w:r>
    </w:p>
    <w:p w14:paraId="6BAB02C6">
      <w:pPr>
        <w:widowControl w:val="0"/>
        <w:spacing w:line="570" w:lineRule="exact"/>
        <w:ind w:firstLine="632" w:firstLineChars="20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子基金有关协议应约定，有下述情况之一的，省农业基金无需其他出资人同意，可选择提前退出，并要求基金管理机构指定的第三方无条件受让省农业基金对子基金出资形成的全部权益，受让价格参照省农业基金出资额的公允价值与原始出资额按同期银行间同业拆借中心公布的一年期贷款市场报价利率（LPR）计算的本息之和两者孰高的原则确定，或省农业基金管理机构有权提请省</w:t>
      </w:r>
      <w:r>
        <w:rPr>
          <w:rFonts w:hint="default" w:ascii="Times New Roman" w:hAnsi="Times New Roman" w:eastAsia="仿宋_GB2312" w:cs="Times New Roman"/>
          <w:spacing w:val="0"/>
          <w:kern w:val="0"/>
          <w:sz w:val="32"/>
          <w:szCs w:val="20"/>
          <w:u w:val="none"/>
          <w:lang w:val="en-US" w:eastAsia="zh-CN" w:bidi="ar-SA"/>
        </w:rPr>
        <w:t>农业基金投资决策委员</w:t>
      </w:r>
      <w:r>
        <w:rPr>
          <w:rFonts w:hint="default" w:ascii="Times New Roman" w:hAnsi="Times New Roman" w:eastAsia="仿宋_GB2312" w:cs="Times New Roman"/>
          <w:spacing w:val="0"/>
          <w:kern w:val="0"/>
          <w:sz w:val="32"/>
          <w:szCs w:val="20"/>
          <w:lang w:val="en-US" w:eastAsia="zh-CN" w:bidi="ar-SA"/>
        </w:rPr>
        <w:t>会更换子基金管理机构：</w:t>
      </w:r>
    </w:p>
    <w:p w14:paraId="34ADEDEF">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（一）基金方案批复后超过一年，未按规定程序和时间要求完成设立手续。</w:t>
      </w:r>
    </w:p>
    <w:p w14:paraId="2B281A1E">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（二）省农业基金出资到基金账户1年以上，基金未开展投资业务。</w:t>
      </w:r>
    </w:p>
    <w:p w14:paraId="1C64D691">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（三）连续两次绩效评价得分低于60分。</w:t>
      </w:r>
    </w:p>
    <w:p w14:paraId="3F8A7619">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（四）募集社会资本低于约定下限。</w:t>
      </w:r>
    </w:p>
    <w:p w14:paraId="5DC241D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（五）基金投资领域和方向不符合政策目标。</w:t>
      </w:r>
    </w:p>
    <w:p w14:paraId="66DFE1C9">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（六）未按合伙协议约定投资。</w:t>
      </w:r>
    </w:p>
    <w:p w14:paraId="6F8B0DF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（七）发现其他危及基金安全或违背政策目标等事前约定退出情况。</w:t>
      </w:r>
    </w:p>
    <w:p w14:paraId="711848AD">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六、遴选评审程序</w:t>
      </w:r>
    </w:p>
    <w:p w14:paraId="3FCB8286">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w:t>
      </w:r>
      <w:r>
        <w:rPr>
          <w:rFonts w:hint="eastAsia" w:eastAsia="楷体_GB2312" w:cs="Times New Roman"/>
          <w:spacing w:val="0"/>
          <w:sz w:val="32"/>
          <w:szCs w:val="32"/>
          <w:lang w:val="en-US" w:eastAsia="zh-CN"/>
        </w:rPr>
        <w:t>研判及</w:t>
      </w:r>
      <w:r>
        <w:rPr>
          <w:rFonts w:hint="default" w:ascii="Times New Roman" w:hAnsi="Times New Roman" w:eastAsia="楷体_GB2312" w:cs="Times New Roman"/>
          <w:spacing w:val="0"/>
          <w:sz w:val="32"/>
          <w:szCs w:val="32"/>
          <w:lang w:val="en-US" w:eastAsia="zh-CN"/>
        </w:rPr>
        <w:t>立项</w:t>
      </w:r>
    </w:p>
    <w:p w14:paraId="3FA5434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申请材料报送至省农业基金管理机构后，由省农业基金管理机构</w:t>
      </w:r>
      <w:r>
        <w:rPr>
          <w:rFonts w:hint="eastAsia" w:eastAsia="仿宋_GB2312" w:cs="Times New Roman"/>
          <w:spacing w:val="0"/>
          <w:kern w:val="0"/>
          <w:sz w:val="32"/>
          <w:szCs w:val="20"/>
          <w:lang w:val="en-US" w:eastAsia="zh-CN" w:bidi="ar-SA"/>
        </w:rPr>
        <w:t>组织研判，并</w:t>
      </w:r>
      <w:r>
        <w:rPr>
          <w:rFonts w:hint="default" w:ascii="Times New Roman" w:hAnsi="Times New Roman" w:eastAsia="仿宋_GB2312" w:cs="Times New Roman"/>
          <w:spacing w:val="0"/>
          <w:kern w:val="0"/>
          <w:sz w:val="32"/>
          <w:szCs w:val="20"/>
          <w:lang w:val="en-US" w:eastAsia="zh-CN" w:bidi="ar-SA"/>
        </w:rPr>
        <w:t>按程序择优立项。</w:t>
      </w:r>
    </w:p>
    <w:p w14:paraId="508B0F9F">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（二）尽职调查</w:t>
      </w:r>
    </w:p>
    <w:p w14:paraId="22E181CF">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立项通过的，由省农业基金管理机构组织开展尽职调查，对不配合尽职调查、申报材料虚假不实的，取消资格。</w:t>
      </w:r>
    </w:p>
    <w:p w14:paraId="1E70E339">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（三）提出投资建议</w:t>
      </w:r>
    </w:p>
    <w:p w14:paraId="4F0A83D0">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根据尽职调查情况，省农业基金管理机构按程序形成投资建议，提交省农业基金投资决策委员会审议。</w:t>
      </w:r>
    </w:p>
    <w:p w14:paraId="67A451A5">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（四）投资决策</w:t>
      </w:r>
    </w:p>
    <w:p w14:paraId="54A08CF3">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省农业基金投资决策委员会对子基金申报方案进行审议，通过后向中选管理机构发出中选通知，未通过的不再另行通知。</w:t>
      </w:r>
    </w:p>
    <w:p w14:paraId="2BFB9435">
      <w:pPr>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七、解释权</w:t>
      </w:r>
    </w:p>
    <w:p w14:paraId="2DC71B66">
      <w:pPr>
        <w:spacing w:line="570" w:lineRule="exact"/>
        <w:ind w:firstLine="630"/>
        <w:rPr>
          <w:rFonts w:hint="default" w:ascii="Times New Roman" w:hAnsi="Times New Roman" w:eastAsia="仿宋_GB2312" w:cs="Times New Roman"/>
          <w:spacing w:val="0"/>
          <w:kern w:val="0"/>
          <w:sz w:val="32"/>
          <w:szCs w:val="20"/>
          <w:lang w:val="en-US" w:eastAsia="zh-CN"/>
        </w:rPr>
      </w:pPr>
      <w:r>
        <w:rPr>
          <w:rFonts w:hint="default" w:ascii="Times New Roman" w:hAnsi="Times New Roman" w:eastAsia="仿宋_GB2312" w:cs="Times New Roman"/>
          <w:spacing w:val="0"/>
          <w:kern w:val="0"/>
          <w:sz w:val="32"/>
          <w:szCs w:val="20"/>
          <w:lang w:val="en-US" w:eastAsia="zh-CN"/>
        </w:rPr>
        <w:t>本申报指南由云南产投股权投资基金管理有限公司负责解释。</w:t>
      </w:r>
    </w:p>
    <w:p w14:paraId="2EB6D5D0">
      <w:pPr>
        <w:spacing w:line="570" w:lineRule="exact"/>
        <w:ind w:firstLine="630"/>
        <w:rPr>
          <w:rFonts w:hint="default" w:ascii="Times New Roman" w:hAnsi="Times New Roman" w:eastAsia="仿宋_GB2312" w:cs="Times New Roman"/>
          <w:spacing w:val="0"/>
          <w:kern w:val="0"/>
          <w:sz w:val="32"/>
          <w:szCs w:val="20"/>
          <w:lang w:val="en-US" w:eastAsia="zh-CN"/>
        </w:rPr>
      </w:pPr>
    </w:p>
    <w:p w14:paraId="616B0CCB">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附件：</w:t>
      </w:r>
      <w:r>
        <w:rPr>
          <w:rFonts w:hint="eastAsia" w:eastAsia="仿宋_GB2312" w:cs="Times New Roman"/>
          <w:spacing w:val="0"/>
          <w:kern w:val="0"/>
          <w:sz w:val="32"/>
          <w:szCs w:val="20"/>
          <w:lang w:val="en-US" w:eastAsia="zh-CN" w:bidi="ar-SA"/>
        </w:rPr>
        <w:t>1</w:t>
      </w:r>
      <w:r>
        <w:rPr>
          <w:rFonts w:hint="default" w:ascii="Times New Roman" w:hAnsi="Times New Roman" w:eastAsia="仿宋_GB2312" w:cs="Times New Roman"/>
          <w:spacing w:val="0"/>
          <w:kern w:val="0"/>
          <w:sz w:val="32"/>
          <w:szCs w:val="20"/>
          <w:lang w:val="en-US" w:eastAsia="zh-CN" w:bidi="ar-SA"/>
        </w:rPr>
        <w:t>-1.装订封面及顺序</w:t>
      </w:r>
    </w:p>
    <w:p w14:paraId="7C945EF7">
      <w:pPr>
        <w:widowControl w:val="0"/>
        <w:tabs>
          <w:tab w:val="left" w:pos="631"/>
        </w:tabs>
        <w:spacing w:line="570" w:lineRule="exact"/>
        <w:ind w:firstLine="1580" w:firstLineChars="500"/>
        <w:jc w:val="both"/>
        <w:rPr>
          <w:rFonts w:hint="default" w:ascii="Times New Roman" w:hAnsi="Times New Roman" w:eastAsia="仿宋_GB2312" w:cs="Times New Roman"/>
          <w:spacing w:val="0"/>
          <w:kern w:val="0"/>
          <w:sz w:val="32"/>
          <w:szCs w:val="20"/>
          <w:lang w:val="en-US" w:eastAsia="zh-CN" w:bidi="ar-SA"/>
        </w:rPr>
      </w:pPr>
      <w:r>
        <w:rPr>
          <w:rFonts w:hint="eastAsia" w:eastAsia="仿宋_GB2312" w:cs="Times New Roman"/>
          <w:spacing w:val="0"/>
          <w:kern w:val="0"/>
          <w:sz w:val="32"/>
          <w:szCs w:val="20"/>
          <w:lang w:val="en-US" w:eastAsia="zh-CN" w:bidi="ar-SA"/>
        </w:rPr>
        <w:t>1</w:t>
      </w:r>
      <w:r>
        <w:rPr>
          <w:rFonts w:hint="default" w:ascii="Times New Roman" w:hAnsi="Times New Roman" w:eastAsia="仿宋_GB2312" w:cs="Times New Roman"/>
          <w:spacing w:val="0"/>
          <w:kern w:val="0"/>
          <w:sz w:val="32"/>
          <w:szCs w:val="20"/>
          <w:lang w:val="en-US" w:eastAsia="zh-CN" w:bidi="ar-SA"/>
        </w:rPr>
        <w:t>-2.相关附表参考模板</w:t>
      </w:r>
    </w:p>
    <w:p w14:paraId="55983925">
      <w:pPr>
        <w:widowControl w:val="0"/>
        <w:spacing w:line="570" w:lineRule="exact"/>
        <w:ind w:firstLine="1580" w:firstLineChars="500"/>
        <w:jc w:val="both"/>
        <w:rPr>
          <w:rFonts w:hint="default" w:ascii="Times New Roman" w:hAnsi="Times New Roman" w:eastAsia="仿宋_GB2312" w:cs="Times New Roman"/>
          <w:spacing w:val="0"/>
          <w:kern w:val="0"/>
          <w:sz w:val="32"/>
          <w:szCs w:val="20"/>
          <w:lang w:val="en-US" w:eastAsia="zh-CN" w:bidi="ar-SA"/>
        </w:rPr>
      </w:pPr>
      <w:r>
        <w:rPr>
          <w:rFonts w:hint="eastAsia" w:eastAsia="仿宋_GB2312" w:cs="Times New Roman"/>
          <w:spacing w:val="0"/>
          <w:kern w:val="0"/>
          <w:sz w:val="32"/>
          <w:szCs w:val="20"/>
          <w:lang w:val="en-US" w:eastAsia="zh-CN" w:bidi="ar-SA"/>
        </w:rPr>
        <w:t>1</w:t>
      </w:r>
      <w:r>
        <w:rPr>
          <w:rFonts w:hint="default" w:ascii="Times New Roman" w:hAnsi="Times New Roman" w:eastAsia="仿宋_GB2312" w:cs="Times New Roman"/>
          <w:spacing w:val="0"/>
          <w:kern w:val="0"/>
          <w:sz w:val="32"/>
          <w:szCs w:val="20"/>
          <w:lang w:val="en-US" w:eastAsia="zh-CN" w:bidi="ar-SA"/>
        </w:rPr>
        <w:t>-3.申报材料提交内容要求</w:t>
      </w:r>
    </w:p>
    <w:p w14:paraId="3F687699">
      <w:pPr>
        <w:widowControl w:val="0"/>
        <w:spacing w:line="570" w:lineRule="exact"/>
        <w:ind w:firstLine="1580" w:firstLineChars="500"/>
        <w:jc w:val="both"/>
        <w:rPr>
          <w:rFonts w:hint="default" w:ascii="Times New Roman" w:hAnsi="Times New Roman" w:eastAsia="仿宋_GB2312" w:cs="Times New Roman"/>
          <w:spacing w:val="0"/>
          <w:kern w:val="0"/>
          <w:sz w:val="32"/>
          <w:szCs w:val="20"/>
          <w:lang w:val="en-US" w:eastAsia="zh-CN" w:bidi="ar-SA"/>
        </w:rPr>
      </w:pPr>
      <w:r>
        <w:rPr>
          <w:rFonts w:hint="eastAsia" w:eastAsia="仿宋_GB2312" w:cs="Times New Roman"/>
          <w:spacing w:val="0"/>
          <w:kern w:val="0"/>
          <w:sz w:val="32"/>
          <w:szCs w:val="20"/>
          <w:lang w:val="en-US" w:eastAsia="zh-CN" w:bidi="ar-SA"/>
        </w:rPr>
        <w:t>1</w:t>
      </w:r>
      <w:r>
        <w:rPr>
          <w:rFonts w:hint="default" w:ascii="Times New Roman" w:hAnsi="Times New Roman" w:eastAsia="仿宋_GB2312" w:cs="Times New Roman"/>
          <w:spacing w:val="0"/>
          <w:kern w:val="0"/>
          <w:sz w:val="32"/>
          <w:szCs w:val="20"/>
          <w:lang w:val="en-US" w:eastAsia="zh-CN" w:bidi="ar-SA"/>
        </w:rPr>
        <w:t>-4.承诺书声明函及授权委托书等文件</w:t>
      </w:r>
    </w:p>
    <w:p w14:paraId="3B792C36">
      <w:pPr>
        <w:spacing w:line="570" w:lineRule="exact"/>
        <w:rPr>
          <w:rFonts w:hint="default" w:ascii="Times New Roman" w:hAnsi="Times New Roman" w:eastAsia="仿宋_GB2312" w:cs="Times New Roman"/>
          <w:spacing w:val="0"/>
          <w:lang w:val="en-US" w:eastAsia="zh-CN"/>
        </w:rPr>
      </w:pPr>
    </w:p>
    <w:sectPr>
      <w:footerReference r:id="rId3" w:type="default"/>
      <w:pgSz w:w="11906" w:h="16838"/>
      <w:pgMar w:top="2098" w:right="1474" w:bottom="1984" w:left="1588" w:header="851" w:footer="1417" w:gutter="0"/>
      <w:pgNumType w:fmt="decimal"/>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小标宋">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0144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639C6">
                          <w:pPr>
                            <w:pStyle w:val="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  \* MERGEFORMAT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C639C6">
                    <w:pPr>
                      <w:pStyle w:val="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  \* MERGEFORMAT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53DD6"/>
    <w:multiLevelType w:val="singleLevel"/>
    <w:tmpl w:val="E2E53DD6"/>
    <w:lvl w:ilvl="0" w:tentative="0">
      <w:start w:val="3"/>
      <w:numFmt w:val="chineseCounting"/>
      <w:suff w:val="nothing"/>
      <w:lvlText w:val="（%1）"/>
      <w:lvlJc w:val="left"/>
      <w:rPr>
        <w:rFonts w:hint="eastAsia" w:ascii="楷体_GB2312" w:hAnsi="楷体_GB2312" w:eastAsia="楷体_GB2312" w:cs="楷体_GB2312"/>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C5A91"/>
    <w:rsid w:val="015809C4"/>
    <w:rsid w:val="01E75112"/>
    <w:rsid w:val="02220721"/>
    <w:rsid w:val="036F7D2F"/>
    <w:rsid w:val="04D87301"/>
    <w:rsid w:val="058A7125"/>
    <w:rsid w:val="0678706A"/>
    <w:rsid w:val="07B1090C"/>
    <w:rsid w:val="0A126FF3"/>
    <w:rsid w:val="0AC04682"/>
    <w:rsid w:val="0ADB6F03"/>
    <w:rsid w:val="0AF21185"/>
    <w:rsid w:val="0B411C00"/>
    <w:rsid w:val="0C584BC2"/>
    <w:rsid w:val="0CA00A39"/>
    <w:rsid w:val="0F1D6237"/>
    <w:rsid w:val="1158396B"/>
    <w:rsid w:val="11B71E1D"/>
    <w:rsid w:val="11D5049D"/>
    <w:rsid w:val="13BA2119"/>
    <w:rsid w:val="176A0A7A"/>
    <w:rsid w:val="1B7E43A7"/>
    <w:rsid w:val="1D480ACB"/>
    <w:rsid w:val="1DF35130"/>
    <w:rsid w:val="1E3B7116"/>
    <w:rsid w:val="20E64209"/>
    <w:rsid w:val="20FE2A3B"/>
    <w:rsid w:val="22453DC6"/>
    <w:rsid w:val="22D43A35"/>
    <w:rsid w:val="245356CA"/>
    <w:rsid w:val="256F0EE9"/>
    <w:rsid w:val="26F41880"/>
    <w:rsid w:val="28CD627E"/>
    <w:rsid w:val="29616657"/>
    <w:rsid w:val="2AE90260"/>
    <w:rsid w:val="2B4E6315"/>
    <w:rsid w:val="2EC15BD9"/>
    <w:rsid w:val="2F2276FC"/>
    <w:rsid w:val="2F951CD9"/>
    <w:rsid w:val="30642DB3"/>
    <w:rsid w:val="317D05FB"/>
    <w:rsid w:val="32D21971"/>
    <w:rsid w:val="337C0B05"/>
    <w:rsid w:val="346030BF"/>
    <w:rsid w:val="34AB11F7"/>
    <w:rsid w:val="36044316"/>
    <w:rsid w:val="363D2477"/>
    <w:rsid w:val="376323B3"/>
    <w:rsid w:val="379A7BEA"/>
    <w:rsid w:val="38AB1707"/>
    <w:rsid w:val="39472749"/>
    <w:rsid w:val="39DF16F8"/>
    <w:rsid w:val="3A61165C"/>
    <w:rsid w:val="3CA86682"/>
    <w:rsid w:val="3EF5367D"/>
    <w:rsid w:val="41321107"/>
    <w:rsid w:val="41916F22"/>
    <w:rsid w:val="41955C43"/>
    <w:rsid w:val="41DB0C16"/>
    <w:rsid w:val="43775ABD"/>
    <w:rsid w:val="438E5BE7"/>
    <w:rsid w:val="43AC7A6A"/>
    <w:rsid w:val="443851BD"/>
    <w:rsid w:val="469F3D6C"/>
    <w:rsid w:val="46F8706C"/>
    <w:rsid w:val="47CA4753"/>
    <w:rsid w:val="48735EAD"/>
    <w:rsid w:val="495F1B8D"/>
    <w:rsid w:val="496D4E83"/>
    <w:rsid w:val="49C33197"/>
    <w:rsid w:val="4A5E74CA"/>
    <w:rsid w:val="4C2D6F06"/>
    <w:rsid w:val="4DB13815"/>
    <w:rsid w:val="4EA32501"/>
    <w:rsid w:val="512C3213"/>
    <w:rsid w:val="524F3C18"/>
    <w:rsid w:val="56793F9A"/>
    <w:rsid w:val="57A66252"/>
    <w:rsid w:val="58DF2F7C"/>
    <w:rsid w:val="5901645B"/>
    <w:rsid w:val="59247E82"/>
    <w:rsid w:val="5C37626E"/>
    <w:rsid w:val="5C6340A3"/>
    <w:rsid w:val="5D5E264F"/>
    <w:rsid w:val="5D6866B1"/>
    <w:rsid w:val="5E595457"/>
    <w:rsid w:val="606A3A73"/>
    <w:rsid w:val="62CA6F20"/>
    <w:rsid w:val="64E10458"/>
    <w:rsid w:val="656211BC"/>
    <w:rsid w:val="65853968"/>
    <w:rsid w:val="69393D31"/>
    <w:rsid w:val="69DB6034"/>
    <w:rsid w:val="6AB64522"/>
    <w:rsid w:val="6AD94673"/>
    <w:rsid w:val="6B6F1752"/>
    <w:rsid w:val="6BA21A06"/>
    <w:rsid w:val="6CB82216"/>
    <w:rsid w:val="6D5502EE"/>
    <w:rsid w:val="6DC33764"/>
    <w:rsid w:val="6E207A41"/>
    <w:rsid w:val="716F2C97"/>
    <w:rsid w:val="7310209F"/>
    <w:rsid w:val="74800568"/>
    <w:rsid w:val="7533166C"/>
    <w:rsid w:val="75530209"/>
    <w:rsid w:val="7B250689"/>
    <w:rsid w:val="7B507A12"/>
    <w:rsid w:val="7B730563"/>
    <w:rsid w:val="7BAB1245"/>
    <w:rsid w:val="7DB8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24"/>
      <w:lang w:val="en-US" w:eastAsia="zh-CN" w:bidi="ar-SA"/>
    </w:rPr>
  </w:style>
  <w:style w:type="paragraph" w:styleId="2">
    <w:name w:val="heading 1"/>
    <w:next w:val="1"/>
    <w:qFormat/>
    <w:uiPriority w:val="0"/>
    <w:pPr>
      <w:keepNext/>
      <w:keepLines/>
      <w:widowControl w:val="0"/>
      <w:spacing w:before="340" w:after="330" w:line="576" w:lineRule="auto"/>
      <w:jc w:val="both"/>
      <w:outlineLvl w:val="0"/>
    </w:pPr>
    <w:rPr>
      <w:rFonts w:ascii="Calibri" w:hAnsi="Calibri" w:eastAsia="方正黑体_GBK" w:cs="Times New Roman"/>
      <w:b/>
      <w:kern w:val="44"/>
      <w:sz w:val="32"/>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630"/>
    </w:pPr>
    <w:rPr>
      <w:rFonts w:ascii="Times New Roman" w:hAnsi="Times New Roman" w:eastAsia="仿宋_GB2312"/>
      <w:kern w:val="0"/>
      <w:sz w:val="32"/>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3b2ca324-afe5-4f96-8bf1-ce5df627c10d</errorID>
      <errorWord>亿元以上</errorWord>
      <group>L1_Grammar</group>
      <groupName>语法问题</groupName>
      <ability>L2_Illogical</ability>
      <abilityName>不合逻辑</abilityName>
      <candidateList>
        <item>亿元</item>
      </candidateList>
      <explain>句子中可能存在因果关系错误、自相矛盾、概念误用、主客倒置、否定不当、前后缺乏呼应等问题。</explain>
      <paraID> 7B61D90</paraID>
      <start>94</start>
      <end>99</end>
      <status>unmodified</status>
      <modifiedWord/>
      <trackRevisions>false</trackRevisions>
    </reviewItem>
    <reviewItem>
      <errorID>37384f65-2077-4824-b6e2-49c5d313aec9</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11CA449B</paraID>
      <start>4</start>
      <end>9</end>
      <status>unmodified</status>
      <modifiedWord/>
      <trackRevisions>false</trackRevisions>
    </reviewItem>
    <reviewItem>
      <errorID>f479891e-b516-41ec-9b6b-4d3434db34c3</errorID>
      <errorWord>设</errorWord>
      <group>L1_Word</group>
      <groupName>字词问题</groupName>
      <ability>L2_Typo</ability>
      <abilityName>字词错误</abilityName>
      <candidateList>
        <item>设立</item>
      </candidateList>
      <explain/>
      <paraID>7BB40EC8</paraID>
      <start>3</start>
      <end>4</end>
      <status>unmodified</status>
      <modifiedWord/>
      <trackRevisions>false</trackRevisions>
    </reviewItem>
    <reviewItem>
      <errorID>2c51da7c-3ccd-48ac-aa47-dee0bc7b8574</errorID>
      <errorWord>至少有3名具备5年以上</errorWord>
      <group>L1_Grammar</group>
      <groupName>语法问题</groupName>
      <ability>L2_Grammar</ability>
      <abilityName>语法错误</abilityName>
      <candidateList>
        <item>至少有3名具备5年</item>
      </candidateList>
      <explain/>
      <paraID>32BAD91A</paraID>
      <start>29</start>
      <end>40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d54b0-9cd2-4214-b081-7030ba481af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5016</Words>
  <Characters>5114</Characters>
  <Lines>0</Lines>
  <Paragraphs>0</Paragraphs>
  <TotalTime>24</TotalTime>
  <ScaleCrop>false</ScaleCrop>
  <LinksUpToDate>false</LinksUpToDate>
  <CharactersWithSpaces>5114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2025-01-21T01:48:00Z</dcterms:created>
  <dc:creator>Lenovo</dc:creator>
  <cp:lastModifiedBy>feng</cp:lastModifiedBy>
  <cp:lastPrinted>2026-04-01T02:10:00Z</cp:lastPrinted>
  <dcterms:modified xsi:type="dcterms:W3CDTF">2026-04-22T02:29:59Z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eyJoZGlkIjoiNTkyZmQwZGMzN2MzZjQ0YTFmMWY5MTkzOTEzYzU5MjIiLCJ1c2VySWQiOiIzNTA3NTcwMDIifQ==</vt:lpwstr>
  </property>
  <property fmtid="{D5CDD505-2E9C-101B-9397-08002B2CF9AE}" pid="4" name="ICV">
    <vt:lpwstr>90615437FCD844888669E3420C7A50C4_13</vt:lpwstr>
  </property>
</Properties>
</file>